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  <w:r w:rsidRPr="00FF135A">
        <w:rPr>
          <w:b/>
          <w:bCs/>
          <w:sz w:val="24"/>
          <w:szCs w:val="24"/>
        </w:rPr>
        <w:t>ИНИЦИАТИВНЫЙ ПРОЕКТ,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выдвигаемый для получения финансовой поддержки за счет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межбюджетных трансфертов из областного бюджета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(далее - проект)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outlineLvl w:val="2"/>
        <w:rPr>
          <w:sz w:val="24"/>
          <w:szCs w:val="24"/>
        </w:rPr>
      </w:pPr>
      <w:r w:rsidRPr="00FF135A">
        <w:rPr>
          <w:sz w:val="24"/>
          <w:szCs w:val="24"/>
        </w:rPr>
        <w:t>Паспорт проекта</w:t>
      </w:r>
    </w:p>
    <w:p w:rsidR="00207C8E" w:rsidRPr="007E38E9" w:rsidRDefault="007E38E9" w:rsidP="000B4D56">
      <w:pPr>
        <w:pStyle w:val="ConsPlusNormal"/>
        <w:jc w:val="center"/>
        <w:outlineLvl w:val="2"/>
        <w:rPr>
          <w:b/>
          <w:sz w:val="24"/>
          <w:szCs w:val="24"/>
        </w:rPr>
      </w:pPr>
      <w:r w:rsidRPr="007E38E9">
        <w:rPr>
          <w:b/>
          <w:sz w:val="24"/>
          <w:szCs w:val="24"/>
        </w:rPr>
        <w:t>«Сквер на Ипподромной»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sz w:val="24"/>
          <w:szCs w:val="24"/>
        </w:rPr>
        <w:t>_______________________</w:t>
      </w:r>
      <w:r w:rsidR="00FF135A" w:rsidRPr="00FF135A">
        <w:rPr>
          <w:color w:val="000000"/>
          <w:sz w:val="24"/>
          <w:szCs w:val="24"/>
          <w:u w:val="single"/>
        </w:rPr>
        <w:t xml:space="preserve"> г. Псков</w:t>
      </w:r>
      <w:r w:rsidR="00FF135A" w:rsidRPr="00FF135A">
        <w:rPr>
          <w:sz w:val="24"/>
          <w:szCs w:val="24"/>
        </w:rPr>
        <w:t xml:space="preserve"> </w:t>
      </w:r>
      <w:r w:rsidRPr="00FF135A">
        <w:rPr>
          <w:sz w:val="24"/>
          <w:szCs w:val="24"/>
        </w:rPr>
        <w:t>_______________________</w:t>
      </w:r>
    </w:p>
    <w:p w:rsidR="00207C8E" w:rsidRDefault="00207C8E" w:rsidP="00207C8E">
      <w:pPr>
        <w:pStyle w:val="ConsPlusNormal"/>
        <w:jc w:val="center"/>
      </w:pPr>
      <w:r>
        <w:t>(наименование муниципального образования)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5046"/>
        <w:gridCol w:w="3696"/>
      </w:tblGrid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696" w:type="dxa"/>
          </w:tcPr>
          <w:p w:rsidR="00207C8E" w:rsidRPr="00AB29E5" w:rsidRDefault="007E38E9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7E38E9">
              <w:t>«Сквер на Ипподромной»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96" w:type="dxa"/>
          </w:tcPr>
          <w:p w:rsidR="007E38E9" w:rsidRPr="007E38E9" w:rsidRDefault="007E38E9" w:rsidP="007E38E9">
            <w:pPr>
              <w:widowControl w:val="0"/>
              <w:spacing w:after="0" w:line="240" w:lineRule="auto"/>
            </w:pPr>
            <w:r w:rsidRPr="007E38E9">
              <w:t xml:space="preserve">Территорию участка на пересечении улиц: проспект Энтузиастов – ул. Северная. </w:t>
            </w:r>
          </w:p>
          <w:p w:rsidR="00207C8E" w:rsidRPr="00AB29E5" w:rsidRDefault="007E38E9" w:rsidP="007E38E9">
            <w:pPr>
              <w:widowControl w:val="0"/>
              <w:spacing w:after="0" w:line="240" w:lineRule="auto"/>
              <w:rPr>
                <w:color w:val="000000"/>
              </w:rPr>
            </w:pPr>
            <w:r w:rsidRPr="007E38E9">
              <w:t>Местоположение участка установлено относительно ориентира, расположенного в границах участка. Почтовый адрес ориентира: Псковская область, г. Псков, ул. Ипподромная, д. 120.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696" w:type="dxa"/>
          </w:tcPr>
          <w:p w:rsidR="00207C8E" w:rsidRPr="00AB29E5" w:rsidRDefault="00FF135A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AB29E5">
              <w:rPr>
                <w:color w:val="000000"/>
              </w:rPr>
              <w:t>Г. Псков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696" w:type="dxa"/>
          </w:tcPr>
          <w:p w:rsidR="00FF135A" w:rsidRDefault="00591B73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187 129</w:t>
            </w:r>
            <w:r w:rsidRPr="008324B6">
              <w:rPr>
                <w:color w:val="000000"/>
              </w:rPr>
              <w:t xml:space="preserve"> 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6" w:type="dxa"/>
          </w:tcPr>
          <w:p w:rsidR="00FF135A" w:rsidRDefault="00FF135A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Псков</w:t>
            </w:r>
          </w:p>
        </w:tc>
      </w:tr>
      <w:tr w:rsidR="00591B73" w:rsidTr="00AB29E5">
        <w:tc>
          <w:tcPr>
            <w:tcW w:w="609" w:type="dxa"/>
            <w:vMerge/>
          </w:tcPr>
          <w:p w:rsidR="00591B73" w:rsidRDefault="00591B73" w:rsidP="00591B73">
            <w:pPr>
              <w:pStyle w:val="ConsPlusNormal"/>
            </w:pPr>
          </w:p>
        </w:tc>
        <w:tc>
          <w:tcPr>
            <w:tcW w:w="5046" w:type="dxa"/>
          </w:tcPr>
          <w:p w:rsidR="00591B73" w:rsidRDefault="00591B73" w:rsidP="00591B73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696" w:type="dxa"/>
          </w:tcPr>
          <w:p w:rsidR="00591B73" w:rsidRDefault="00591B73" w:rsidP="00591B73">
            <w:r w:rsidRPr="00361894">
              <w:rPr>
                <w:color w:val="000000"/>
              </w:rPr>
              <w:t>187 129 чел.</w:t>
            </w:r>
          </w:p>
        </w:tc>
      </w:tr>
      <w:tr w:rsidR="00591B73" w:rsidTr="00AB29E5">
        <w:tc>
          <w:tcPr>
            <w:tcW w:w="609" w:type="dxa"/>
            <w:vMerge/>
          </w:tcPr>
          <w:p w:rsidR="00591B73" w:rsidRDefault="00591B73" w:rsidP="00591B73">
            <w:pPr>
              <w:pStyle w:val="ConsPlusNormal"/>
            </w:pPr>
          </w:p>
        </w:tc>
        <w:tc>
          <w:tcPr>
            <w:tcW w:w="5046" w:type="dxa"/>
          </w:tcPr>
          <w:p w:rsidR="00591B73" w:rsidRDefault="00591B73" w:rsidP="00591B73">
            <w:pPr>
              <w:pStyle w:val="ConsPlusNormal"/>
            </w:pPr>
            <w:r>
              <w:t>Всего</w:t>
            </w:r>
          </w:p>
        </w:tc>
        <w:tc>
          <w:tcPr>
            <w:tcW w:w="3696" w:type="dxa"/>
          </w:tcPr>
          <w:p w:rsidR="00591B73" w:rsidRDefault="00591B73" w:rsidP="00591B73">
            <w:r w:rsidRPr="00361894">
              <w:rPr>
                <w:color w:val="000000"/>
              </w:rPr>
              <w:t>187 129 чел.</w:t>
            </w:r>
          </w:p>
        </w:tc>
      </w:tr>
      <w:tr w:rsidR="00591B73" w:rsidTr="00AB29E5">
        <w:tc>
          <w:tcPr>
            <w:tcW w:w="609" w:type="dxa"/>
            <w:vMerge/>
          </w:tcPr>
          <w:p w:rsidR="00591B73" w:rsidRDefault="00591B73" w:rsidP="00591B73">
            <w:pPr>
              <w:pStyle w:val="ConsPlusNormal"/>
            </w:pPr>
          </w:p>
        </w:tc>
        <w:tc>
          <w:tcPr>
            <w:tcW w:w="5046" w:type="dxa"/>
          </w:tcPr>
          <w:p w:rsidR="00591B73" w:rsidRDefault="00591B73" w:rsidP="00591B73">
            <w:pPr>
              <w:pStyle w:val="ConsPlusNormal"/>
            </w:pPr>
            <w:r>
              <w:t>в том числе достигшего 16 лет:</w:t>
            </w:r>
          </w:p>
        </w:tc>
        <w:tc>
          <w:tcPr>
            <w:tcW w:w="3696" w:type="dxa"/>
          </w:tcPr>
          <w:p w:rsidR="00591B73" w:rsidRDefault="00591B73" w:rsidP="00591B73">
            <w:r w:rsidRPr="00361894">
              <w:rPr>
                <w:color w:val="000000"/>
              </w:rPr>
              <w:t>187 129 чел.</w:t>
            </w:r>
          </w:p>
        </w:tc>
      </w:tr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207C8E" w:rsidRDefault="00207C8E" w:rsidP="004A7488">
            <w:pPr>
              <w:pStyle w:val="ConsPlusNormal"/>
            </w:pPr>
            <w:r>
              <w:t>1 - объекты коммунальной инфраструктуры;</w:t>
            </w:r>
          </w:p>
          <w:p w:rsidR="00207C8E" w:rsidRDefault="00207C8E" w:rsidP="004A7488">
            <w:pPr>
              <w:pStyle w:val="ConsPlusNormal"/>
            </w:pPr>
            <w:r>
              <w:t>2 - объекты внешнего благоустройства;</w:t>
            </w:r>
          </w:p>
          <w:p w:rsidR="00207C8E" w:rsidRDefault="00207C8E" w:rsidP="004A7488">
            <w:pPr>
              <w:pStyle w:val="ConsPlusNormal"/>
            </w:pPr>
            <w:r>
              <w:t>3 - объекты культуры;</w:t>
            </w:r>
          </w:p>
          <w:p w:rsidR="00207C8E" w:rsidRDefault="00207C8E" w:rsidP="004A7488">
            <w:pPr>
              <w:pStyle w:val="ConsPlusNormal"/>
            </w:pPr>
            <w:r>
              <w:t>4 - спортивные объекты;</w:t>
            </w:r>
          </w:p>
          <w:p w:rsidR="00207C8E" w:rsidRDefault="00207C8E" w:rsidP="004A7488">
            <w:pPr>
              <w:pStyle w:val="ConsPlusNormal"/>
            </w:pPr>
            <w:r>
              <w:t>5 - объекты для организации детского досуга;</w:t>
            </w:r>
          </w:p>
          <w:p w:rsidR="00207C8E" w:rsidRDefault="00207C8E" w:rsidP="004A7488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207C8E" w:rsidRDefault="00207C8E" w:rsidP="004A7488">
            <w:pPr>
              <w:pStyle w:val="ConsPlusNormal"/>
            </w:pPr>
            <w:r>
              <w:t>7 - места захоронения;</w:t>
            </w:r>
          </w:p>
          <w:p w:rsidR="00207C8E" w:rsidRDefault="00207C8E" w:rsidP="004A7488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207C8E" w:rsidRDefault="00207C8E" w:rsidP="004A7488">
            <w:pPr>
              <w:pStyle w:val="ConsPlusNormal"/>
            </w:pPr>
            <w:r>
              <w:lastRenderedPageBreak/>
              <w:t>9 - основные средства (машины, оборудование);</w:t>
            </w:r>
          </w:p>
          <w:p w:rsidR="00207C8E" w:rsidRDefault="00207C8E" w:rsidP="004A7488">
            <w:pPr>
              <w:pStyle w:val="ConsPlusNormal"/>
            </w:pPr>
            <w:r>
              <w:t>10 - иное (указать)</w:t>
            </w:r>
          </w:p>
        </w:tc>
        <w:tc>
          <w:tcPr>
            <w:tcW w:w="3696" w:type="dxa"/>
          </w:tcPr>
          <w:p w:rsidR="00207C8E" w:rsidRDefault="000142AD" w:rsidP="007E38E9">
            <w:pPr>
              <w:pStyle w:val="ConsPlusNormal"/>
            </w:pPr>
            <w:r>
              <w:lastRenderedPageBreak/>
              <w:t xml:space="preserve">Этот проект </w:t>
            </w:r>
            <w:r w:rsidR="00FF135A">
              <w:t xml:space="preserve"> - это объединение </w:t>
            </w:r>
            <w:r>
              <w:t xml:space="preserve"> </w:t>
            </w:r>
            <w:r w:rsidR="007E38E9">
              <w:t>объекта внешнего благоустройства</w:t>
            </w:r>
            <w:r>
              <w:t xml:space="preserve"> (п.</w:t>
            </w:r>
            <w:r w:rsidR="007E38E9">
              <w:t>2</w:t>
            </w:r>
            <w:r>
              <w:t xml:space="preserve">) с </w:t>
            </w:r>
            <w:r w:rsidR="00FF135A">
              <w:t xml:space="preserve"> площадкой, используемой для проведения общественных, культурно-массовых мероприятий, организации массового отдыха (п. 6)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вопроса местного значения, в рамках которого реализуется проект, в соответствии с Федеральным законом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696" w:type="dxa"/>
          </w:tcPr>
          <w:p w:rsidR="00207C8E" w:rsidRDefault="000142AD" w:rsidP="004A7488">
            <w:pPr>
              <w:pStyle w:val="ConsPlusNormal"/>
            </w:pPr>
            <w: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для маломобильной части граждан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 Псков, </w:t>
            </w:r>
            <w:r>
              <w:t>Управление городского хозяйства Администрации города Пскова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AC6532" w:rsidRDefault="00AC6532" w:rsidP="00AC6532">
            <w:pPr>
              <w:pStyle w:val="ConsPlusNormal"/>
            </w:pPr>
            <w:r>
              <w:t>Федеральный закон N 131-ФЗ;</w:t>
            </w:r>
          </w:p>
          <w:p w:rsidR="00AC6532" w:rsidRDefault="00AC6532" w:rsidP="00AC6532">
            <w:pPr>
              <w:pStyle w:val="ConsPlusNormal"/>
            </w:pPr>
            <w:r>
              <w:t>Закон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C6532" w:rsidRDefault="00AC6532" w:rsidP="00AC6532">
            <w:pPr>
              <w:pStyle w:val="ConsPlusNormal"/>
            </w:pPr>
            <w: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rPr>
                <w:color w:val="000000"/>
              </w:rPr>
              <w:t xml:space="preserve"> N 131-ФЗ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696" w:type="dxa"/>
          </w:tcPr>
          <w:p w:rsidR="007E38E9" w:rsidRDefault="007E38E9" w:rsidP="007E38E9">
            <w:pPr>
              <w:pStyle w:val="ConsPlusNormal"/>
            </w:pPr>
            <w:r>
              <w:t>Борьбу за эту территории жители  начали еще 10 лет назад, когда удалось исключить земельный участок из инвестиционной программы региона строительства автозаправочной станции. Перспектива жить рядом с автозаправкой не понравилась никому. Тогда назначение земельного участка было изменено.</w:t>
            </w:r>
          </w:p>
          <w:p w:rsidR="0054087B" w:rsidRDefault="007E38E9" w:rsidP="007E38E9">
            <w:pPr>
              <w:pStyle w:val="ConsPlusNormal"/>
            </w:pPr>
            <w:r>
              <w:t>Жители ближайших домов считают, что на этой территории необходимо организовать преобладающую зеленую зону со скамейками, урнами, дорожками, невысокими деревьями и кустарниками, уличное освещение..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проблемы, на решение которой направлен проект:</w:t>
            </w:r>
          </w:p>
          <w:p w:rsidR="00207C8E" w:rsidRDefault="00207C8E" w:rsidP="004A7488">
            <w:pPr>
              <w:pStyle w:val="ConsPlusNormal"/>
            </w:pPr>
            <w: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696" w:type="dxa"/>
          </w:tcPr>
          <w:p w:rsidR="00591B73" w:rsidRPr="00591B73" w:rsidRDefault="00591B73" w:rsidP="00591B73">
            <w:pPr>
              <w:pStyle w:val="ConsPlusNormal"/>
            </w:pPr>
            <w:r w:rsidRPr="00591B73">
              <w:t xml:space="preserve">Земельный участок находится рядом с большим жилым кварталом и соединением оживленной городской магистрали </w:t>
            </w:r>
            <w:proofErr w:type="spellStart"/>
            <w:r w:rsidRPr="00591B73">
              <w:t>пр.Энтузиастов</w:t>
            </w:r>
            <w:proofErr w:type="spellEnd"/>
            <w:r w:rsidRPr="00591B73">
              <w:t xml:space="preserve"> с ул. Ипподромной.</w:t>
            </w:r>
          </w:p>
          <w:p w:rsidR="00591B73" w:rsidRPr="00591B73" w:rsidRDefault="00591B73" w:rsidP="00591B73">
            <w:pPr>
              <w:pStyle w:val="ConsPlusNormal"/>
            </w:pPr>
            <w:r w:rsidRPr="00591B73">
              <w:t xml:space="preserve">В 2018 года активные жители микрорайона выступили против размещения здесь объектов транспортной инфраструктуры. Граждане настояли, чтобы между дорогой и жилыми домами была </w:t>
            </w:r>
            <w:r w:rsidRPr="00591B73">
              <w:lastRenderedPageBreak/>
              <w:t xml:space="preserve">зеленая зона, а не автозаправка. Администрация города Пскова услышала людей, разрешение на строительство автозаправки не было выдано, заправка не построена. </w:t>
            </w:r>
            <w:r w:rsidRPr="00591B73">
              <w:br/>
              <w:t xml:space="preserve">В 2023 году администрация города Пскова по ходатайству депутата обратилась в комитет по управлению государственным имуществом Псковской области с просьбой предоставить земельный участок под благоустройство. В настоящее время участок находится на </w:t>
            </w:r>
            <w:proofErr w:type="spellStart"/>
            <w:r w:rsidRPr="00591B73">
              <w:t>неразмежованной</w:t>
            </w:r>
            <w:proofErr w:type="spellEnd"/>
            <w:r w:rsidRPr="00591B73">
              <w:t xml:space="preserve"> территории с функциональным назначением Т</w:t>
            </w:r>
            <w:proofErr w:type="gramStart"/>
            <w:r w:rsidRPr="00591B73">
              <w:t>И(</w:t>
            </w:r>
            <w:proofErr w:type="gramEnd"/>
            <w:r w:rsidRPr="00591B73">
              <w:t xml:space="preserve">Г) - </w:t>
            </w:r>
            <w:proofErr w:type="spellStart"/>
            <w:r w:rsidRPr="00591B73">
              <w:t>подзона</w:t>
            </w:r>
            <w:proofErr w:type="spellEnd"/>
            <w:r w:rsidRPr="00591B73">
              <w:t xml:space="preserve"> объектов городского транспорта, одним из видом разрешенного использования является 12.0.1 — благоустройство территории.</w:t>
            </w:r>
          </w:p>
          <w:p w:rsidR="009039A7" w:rsidRDefault="00591B73" w:rsidP="00591B73">
            <w:pPr>
              <w:pStyle w:val="ConsPlusNormal"/>
            </w:pPr>
            <w:r w:rsidRPr="00591B73">
              <w:t xml:space="preserve">Долгое время участок земли используется для свалки земли и мусора, а также стоянки автомобилей. Между тем, жителям не хватает благоустроенной зеленой зоны для отдыха и для защиты от шума и пыли со стороны </w:t>
            </w:r>
            <w:proofErr w:type="spellStart"/>
            <w:r w:rsidRPr="00591B73">
              <w:t>пр.Энтузиастов</w:t>
            </w:r>
            <w:proofErr w:type="spellEnd"/>
            <w:r w:rsidRPr="00591B73">
              <w:t>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Общая стоимость проекта (указываются 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696" w:type="dxa"/>
          </w:tcPr>
          <w:p w:rsidR="00207C8E" w:rsidRDefault="007E38E9" w:rsidP="0054087B">
            <w:pPr>
              <w:pStyle w:val="ConsPlusNormal"/>
            </w:pPr>
            <w:r w:rsidRPr="007E38E9">
              <w:t>3458530,0 руб.</w:t>
            </w:r>
          </w:p>
        </w:tc>
      </w:tr>
      <w:tr w:rsidR="00591B73" w:rsidTr="00AB29E5">
        <w:tc>
          <w:tcPr>
            <w:tcW w:w="609" w:type="dxa"/>
            <w:vMerge/>
          </w:tcPr>
          <w:p w:rsidR="00591B73" w:rsidRDefault="00591B73" w:rsidP="00591B73">
            <w:pPr>
              <w:pStyle w:val="ConsPlusNormal"/>
            </w:pPr>
          </w:p>
        </w:tc>
        <w:tc>
          <w:tcPr>
            <w:tcW w:w="5046" w:type="dxa"/>
          </w:tcPr>
          <w:p w:rsidR="00591B73" w:rsidRPr="007B1C1E" w:rsidRDefault="00591B73" w:rsidP="00591B73">
            <w:pPr>
              <w:pStyle w:val="ConsPlusNormal"/>
            </w:pPr>
            <w:r w:rsidRPr="007B1C1E">
              <w:t>Перечень работ и оборудования 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необходимости)</w:t>
            </w:r>
          </w:p>
        </w:tc>
        <w:tc>
          <w:tcPr>
            <w:tcW w:w="3696" w:type="dxa"/>
          </w:tcPr>
          <w:p w:rsidR="00591B73" w:rsidRDefault="00591B73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 w:rsidRPr="00591B73">
              <w:t>Земляные и общестроительные работы</w:t>
            </w:r>
          </w:p>
          <w:p w:rsidR="00591B73" w:rsidRDefault="00591B73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>
              <w:t>Устройство газона, дорож</w:t>
            </w:r>
            <w:r w:rsidR="00115930">
              <w:t>е</w:t>
            </w:r>
            <w:r>
              <w:t>к</w:t>
            </w:r>
          </w:p>
          <w:p w:rsidR="00591B73" w:rsidRDefault="00591B73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>
              <w:t>Устройство покрытия парадной площадки и карманов для скамеек из тротуарной плитки</w:t>
            </w:r>
          </w:p>
          <w:p w:rsidR="00591B73" w:rsidRDefault="00591B73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>
              <w:t>Устройство автостоянки</w:t>
            </w:r>
          </w:p>
          <w:p w:rsidR="00591B73" w:rsidRDefault="00591B73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>
              <w:t>Озеленение</w:t>
            </w:r>
          </w:p>
          <w:p w:rsidR="00591B73" w:rsidRDefault="00115930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>
              <w:t>Организация освещения территории</w:t>
            </w:r>
          </w:p>
          <w:p w:rsidR="00591B73" w:rsidRPr="007B1C1E" w:rsidRDefault="00591B73" w:rsidP="00115930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-44" w:firstLine="5"/>
            </w:pPr>
            <w:r>
              <w:t xml:space="preserve">Установка </w:t>
            </w:r>
            <w:r w:rsidR="00115930">
              <w:t>МАФ</w:t>
            </w:r>
          </w:p>
        </w:tc>
      </w:tr>
      <w:tr w:rsidR="00115930" w:rsidTr="00115930">
        <w:trPr>
          <w:trHeight w:val="3574"/>
        </w:trPr>
        <w:tc>
          <w:tcPr>
            <w:tcW w:w="609" w:type="dxa"/>
            <w:vMerge/>
          </w:tcPr>
          <w:p w:rsidR="00115930" w:rsidRDefault="00115930" w:rsidP="004A7488">
            <w:pPr>
              <w:pStyle w:val="ConsPlusNormal"/>
            </w:pPr>
          </w:p>
        </w:tc>
        <w:tc>
          <w:tcPr>
            <w:tcW w:w="5046" w:type="dxa"/>
          </w:tcPr>
          <w:p w:rsidR="00115930" w:rsidRDefault="00115930" w:rsidP="004A7488">
            <w:pPr>
              <w:pStyle w:val="ConsPlusNormal"/>
            </w:pPr>
            <w: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696" w:type="dxa"/>
          </w:tcPr>
          <w:p w:rsidR="00115930" w:rsidRDefault="00115930" w:rsidP="007E38E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Реализация проекта позволит:</w:t>
            </w:r>
          </w:p>
          <w:p w:rsidR="00115930" w:rsidRDefault="00115930" w:rsidP="007E38E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увеличить количество зелёных насаждений, которых в микрорайоне недостаточно;</w:t>
            </w:r>
          </w:p>
          <w:p w:rsidR="00115930" w:rsidRDefault="00115930" w:rsidP="007E38E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ликвидировать депрессивный пустырь в центре жилой застройки;</w:t>
            </w:r>
          </w:p>
          <w:p w:rsidR="00115930" w:rsidRPr="009039A7" w:rsidRDefault="00115930" w:rsidP="007E38E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создать место для тихого отдыха, особенно людям старшего возраста, которые устают от суеты и типовых игровых площадок.</w:t>
            </w:r>
          </w:p>
          <w:p w:rsidR="00115930" w:rsidRPr="00FB23C7" w:rsidRDefault="00115930" w:rsidP="00591B73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24D6">
              <w:rPr>
                <w:color w:val="000000"/>
              </w:rPr>
              <w:t>После реализации проекта имущество будет передано на баланс города, обслуживание будет организовано Управлением городского хозяйства Администрация города Пскова.</w:t>
            </w:r>
            <w:r>
              <w:rPr>
                <w:color w:val="000000"/>
              </w:rPr>
              <w:t xml:space="preserve"> 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Источники финансирования проекта в денежной форме (приводится в таблице 2)</w:t>
            </w:r>
          </w:p>
        </w:tc>
        <w:tc>
          <w:tcPr>
            <w:tcW w:w="3696" w:type="dxa"/>
          </w:tcPr>
          <w:p w:rsidR="00207C8E" w:rsidRDefault="00CF48A2" w:rsidP="004A7488">
            <w:pPr>
              <w:pStyle w:val="ConsPlusNormal"/>
            </w:pPr>
            <w:r>
              <w:t>3 458 528,95</w:t>
            </w:r>
            <w:r w:rsidR="00C9787E">
              <w:t>. руб.</w:t>
            </w:r>
          </w:p>
          <w:p w:rsidR="00C9787E" w:rsidRDefault="00C9787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таблице 3)</w:t>
            </w:r>
          </w:p>
        </w:tc>
        <w:tc>
          <w:tcPr>
            <w:tcW w:w="3696" w:type="dxa"/>
          </w:tcPr>
          <w:p w:rsidR="00207C8E" w:rsidRDefault="00C9787E" w:rsidP="004A7488">
            <w:pPr>
              <w:pStyle w:val="ConsPlusNormal"/>
            </w:pPr>
            <w:r>
              <w:t>210,0 тыс. руб.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строке 2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696" w:type="dxa"/>
          </w:tcPr>
          <w:p w:rsidR="00207C8E" w:rsidRPr="001A0F4C" w:rsidRDefault="007E38E9" w:rsidP="001A0F4C">
            <w:pPr>
              <w:pStyle w:val="ConsPlusNormal"/>
            </w:pPr>
            <w:r w:rsidRPr="001A0F4C">
              <w:t xml:space="preserve">Драгунова Оксана Александровна, </w:t>
            </w:r>
            <w:proofErr w:type="spellStart"/>
            <w:r w:rsidRPr="001A0F4C">
              <w:t>Мешковая</w:t>
            </w:r>
            <w:proofErr w:type="spellEnd"/>
            <w:r w:rsidRPr="001A0F4C">
              <w:t xml:space="preserve"> Людмила Михайловна, </w:t>
            </w:r>
            <w:proofErr w:type="spellStart"/>
            <w:r w:rsidRPr="001A0F4C">
              <w:t>Каледина</w:t>
            </w:r>
            <w:proofErr w:type="spellEnd"/>
            <w:r w:rsidRPr="001A0F4C">
              <w:t xml:space="preserve"> Наталь</w:t>
            </w:r>
            <w:r w:rsidR="001A0F4C" w:rsidRPr="001A0F4C">
              <w:t>я</w:t>
            </w:r>
            <w:r w:rsidRPr="001A0F4C">
              <w:t xml:space="preserve"> Викторовн</w:t>
            </w:r>
            <w:r w:rsidR="001A0F4C" w:rsidRPr="001A0F4C">
              <w:t>а,</w:t>
            </w:r>
            <w:r w:rsidRPr="001A0F4C">
              <w:t xml:space="preserve"> </w:t>
            </w:r>
            <w:proofErr w:type="spellStart"/>
            <w:r w:rsidRPr="001A0F4C">
              <w:t>Адреанов</w:t>
            </w:r>
            <w:r w:rsidR="001A0F4C" w:rsidRPr="001A0F4C">
              <w:t>а</w:t>
            </w:r>
            <w:proofErr w:type="spellEnd"/>
            <w:r w:rsidR="001A0F4C" w:rsidRPr="001A0F4C">
              <w:t xml:space="preserve"> Е</w:t>
            </w:r>
            <w:r w:rsidRPr="001A0F4C">
              <w:t>лен</w:t>
            </w:r>
            <w:r w:rsidR="001A0F4C" w:rsidRPr="001A0F4C">
              <w:t>а</w:t>
            </w:r>
            <w:r w:rsidRPr="001A0F4C">
              <w:t xml:space="preserve"> Васильевн</w:t>
            </w:r>
            <w:r w:rsidR="001A0F4C" w:rsidRPr="001A0F4C">
              <w:t>а,</w:t>
            </w:r>
            <w:r w:rsidRPr="001A0F4C">
              <w:t xml:space="preserve"> </w:t>
            </w:r>
            <w:r w:rsidR="001A0F4C" w:rsidRPr="001A0F4C">
              <w:t>Просвирина</w:t>
            </w:r>
            <w:r w:rsidRPr="001A0F4C">
              <w:t xml:space="preserve"> Дарь</w:t>
            </w:r>
            <w:r w:rsidR="001A0F4C" w:rsidRPr="001A0F4C">
              <w:t>я</w:t>
            </w:r>
            <w:r w:rsidRPr="001A0F4C">
              <w:t xml:space="preserve"> Владимировн</w:t>
            </w:r>
            <w:r w:rsidR="001A0F4C" w:rsidRPr="001A0F4C">
              <w:t>а,</w:t>
            </w:r>
            <w:r w:rsidRPr="001A0F4C">
              <w:t xml:space="preserve"> Щеглов</w:t>
            </w:r>
            <w:r w:rsidR="001A0F4C" w:rsidRPr="001A0F4C">
              <w:t>а</w:t>
            </w:r>
            <w:r w:rsidRPr="001A0F4C">
              <w:t xml:space="preserve"> Галин</w:t>
            </w:r>
            <w:r w:rsidR="001A0F4C" w:rsidRPr="001A0F4C">
              <w:t>а</w:t>
            </w:r>
            <w:r w:rsidRPr="001A0F4C">
              <w:t xml:space="preserve"> Георгиевн</w:t>
            </w:r>
            <w:r w:rsidR="001A0F4C" w:rsidRPr="001A0F4C">
              <w:t>а,</w:t>
            </w:r>
            <w:r w:rsidRPr="001A0F4C">
              <w:t xml:space="preserve"> </w:t>
            </w:r>
            <w:proofErr w:type="spellStart"/>
            <w:r w:rsidRPr="001A0F4C">
              <w:t>Бильдин</w:t>
            </w:r>
            <w:r w:rsidR="001A0F4C" w:rsidRPr="001A0F4C">
              <w:t>а</w:t>
            </w:r>
            <w:proofErr w:type="spellEnd"/>
            <w:r w:rsidRPr="001A0F4C">
              <w:t xml:space="preserve"> Виктори</w:t>
            </w:r>
            <w:r w:rsidR="001A0F4C" w:rsidRPr="001A0F4C">
              <w:t>я</w:t>
            </w:r>
            <w:r w:rsidRPr="001A0F4C">
              <w:t xml:space="preserve"> Владимировн</w:t>
            </w:r>
            <w:r w:rsidR="001A0F4C" w:rsidRPr="001A0F4C">
              <w:t>а,</w:t>
            </w:r>
            <w:r w:rsidRPr="001A0F4C">
              <w:t xml:space="preserve"> Кудрявцев</w:t>
            </w:r>
            <w:r w:rsidR="001A0F4C" w:rsidRPr="001A0F4C">
              <w:t>а</w:t>
            </w:r>
            <w:r w:rsidRPr="001A0F4C">
              <w:t xml:space="preserve"> Ирин</w:t>
            </w:r>
            <w:r w:rsidR="001A0F4C" w:rsidRPr="001A0F4C">
              <w:t>а</w:t>
            </w:r>
            <w:r w:rsidRPr="001A0F4C">
              <w:t xml:space="preserve"> Алексеевн</w:t>
            </w:r>
            <w:r w:rsidR="001A0F4C" w:rsidRPr="001A0F4C">
              <w:t>а,</w:t>
            </w:r>
            <w:r w:rsidRPr="001A0F4C">
              <w:t xml:space="preserve"> Алексеев</w:t>
            </w:r>
            <w:r w:rsidR="001A0F4C" w:rsidRPr="001A0F4C">
              <w:t>а</w:t>
            </w:r>
            <w:r w:rsidRPr="001A0F4C">
              <w:t xml:space="preserve"> Анн</w:t>
            </w:r>
            <w:r w:rsidR="001A0F4C" w:rsidRPr="001A0F4C">
              <w:t>а</w:t>
            </w:r>
            <w:r w:rsidRPr="001A0F4C">
              <w:t xml:space="preserve"> Николаевн</w:t>
            </w:r>
            <w:r w:rsidR="001A0F4C" w:rsidRPr="001A0F4C">
              <w:t>а,</w:t>
            </w:r>
            <w:r w:rsidRPr="001A0F4C">
              <w:t xml:space="preserve"> Морозов</w:t>
            </w:r>
            <w:r w:rsidR="001A0F4C" w:rsidRPr="001A0F4C">
              <w:t>а Татьяна</w:t>
            </w:r>
            <w:r w:rsidRPr="001A0F4C">
              <w:t xml:space="preserve"> Васильевн</w:t>
            </w:r>
            <w:r w:rsidR="001A0F4C" w:rsidRPr="001A0F4C">
              <w:t xml:space="preserve">а </w:t>
            </w:r>
            <w:r w:rsidR="002624CF" w:rsidRPr="001A0F4C">
              <w:t xml:space="preserve">гарантируют участвовать в </w:t>
            </w:r>
            <w:r w:rsidR="001A0F4C" w:rsidRPr="001A0F4C">
              <w:t>озеленении сквера (посадка гортензий)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Проведение работ (приводится в таблице 4)</w:t>
            </w:r>
          </w:p>
        </w:tc>
        <w:tc>
          <w:tcPr>
            <w:tcW w:w="3696" w:type="dxa"/>
          </w:tcPr>
          <w:p w:rsidR="00207C8E" w:rsidRDefault="00115930" w:rsidP="004A7488">
            <w:pPr>
              <w:pStyle w:val="ConsPlusNormal"/>
            </w:pPr>
            <w:r>
              <w:t xml:space="preserve">19191,81 </w:t>
            </w:r>
            <w:proofErr w:type="spellStart"/>
            <w:r>
              <w:t>руб</w:t>
            </w:r>
            <w:proofErr w:type="spellEnd"/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Предоставление материалов и оборудования (приводится в таблице 5)</w:t>
            </w:r>
          </w:p>
        </w:tc>
        <w:tc>
          <w:tcPr>
            <w:tcW w:w="3696" w:type="dxa"/>
          </w:tcPr>
          <w:p w:rsidR="00207C8E" w:rsidRDefault="002624CF" w:rsidP="004A7488">
            <w:pPr>
              <w:pStyle w:val="ConsPlusNormal"/>
            </w:pPr>
            <w:r>
              <w:t>-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Предоставление техники и транспортных средств (приводится в таблице 6)</w:t>
            </w:r>
          </w:p>
        </w:tc>
        <w:tc>
          <w:tcPr>
            <w:tcW w:w="3696" w:type="dxa"/>
          </w:tcPr>
          <w:p w:rsidR="00207C8E" w:rsidRDefault="002624CF" w:rsidP="004A7488">
            <w:pPr>
              <w:pStyle w:val="ConsPlusNormal"/>
            </w:pPr>
            <w:r>
              <w:t>-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696" w:type="dxa"/>
          </w:tcPr>
          <w:p w:rsidR="00207C8E" w:rsidRDefault="00115930" w:rsidP="004A7488">
            <w:pPr>
              <w:pStyle w:val="ConsPlusNormal"/>
            </w:pPr>
            <w:r>
              <w:t xml:space="preserve">19191,81 </w:t>
            </w:r>
            <w:proofErr w:type="spellStart"/>
            <w:r>
              <w:t>руб</w:t>
            </w:r>
            <w:proofErr w:type="spellEnd"/>
          </w:p>
        </w:tc>
      </w:tr>
      <w:tr w:rsidR="002624CF" w:rsidTr="00AB29E5">
        <w:tc>
          <w:tcPr>
            <w:tcW w:w="609" w:type="dxa"/>
            <w:vMerge w:val="restart"/>
          </w:tcPr>
          <w:p w:rsidR="002624CF" w:rsidRDefault="002624CF" w:rsidP="002624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696" w:type="dxa"/>
          </w:tcPr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комфортной городской среды для всех групп населения;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условий для культурного отдыха и развития эстетического развития;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развитие инициативы жителей на </w:t>
            </w:r>
            <w:r>
              <w:rPr>
                <w:color w:val="000000"/>
              </w:rPr>
              <w:lastRenderedPageBreak/>
              <w:t>примере реализации их запросов и предложений;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у жителей неравнодушного отношения к среде проживания;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постепенное воспитание навыков культурного времяпровождения;</w:t>
            </w:r>
          </w:p>
          <w:p w:rsidR="002624CF" w:rsidRDefault="002624CF" w:rsidP="002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создание законченной многофункциональной благоустроенной территории. </w:t>
            </w:r>
          </w:p>
        </w:tc>
      </w:tr>
      <w:tr w:rsidR="002624CF" w:rsidTr="00AB29E5">
        <w:tc>
          <w:tcPr>
            <w:tcW w:w="609" w:type="dxa"/>
            <w:vMerge/>
          </w:tcPr>
          <w:p w:rsidR="002624CF" w:rsidRDefault="002624CF" w:rsidP="002624CF">
            <w:pPr>
              <w:pStyle w:val="ConsPlusNormal"/>
            </w:pP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(приводятся в таблице 7)</w:t>
            </w:r>
          </w:p>
        </w:tc>
        <w:tc>
          <w:tcPr>
            <w:tcW w:w="3696" w:type="dxa"/>
          </w:tcPr>
          <w:p w:rsidR="002624CF" w:rsidRDefault="002624CF" w:rsidP="001A0F4C">
            <w:pPr>
              <w:pStyle w:val="ConsPlusNormal"/>
            </w:pPr>
            <w:r w:rsidRPr="00A9535C">
              <w:rPr>
                <w:color w:val="000000"/>
              </w:rPr>
              <w:t xml:space="preserve">Все жители </w:t>
            </w:r>
            <w:r w:rsidR="0080692F">
              <w:rPr>
                <w:color w:val="000000"/>
              </w:rPr>
              <w:t xml:space="preserve">микрорайона, но </w:t>
            </w:r>
            <w:r w:rsidRPr="00A9535C">
              <w:rPr>
                <w:color w:val="000000"/>
              </w:rPr>
              <w:t xml:space="preserve">в первую очередь </w:t>
            </w: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 xml:space="preserve">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 xml:space="preserve">г. Псков, </w:t>
            </w:r>
            <w:r w:rsidR="001A0F4C">
              <w:rPr>
                <w:color w:val="000000"/>
              </w:rPr>
              <w:t xml:space="preserve">ул. </w:t>
            </w:r>
            <w:r w:rsidR="001A0F4C" w:rsidRPr="001A0F4C">
              <w:rPr>
                <w:color w:val="000000"/>
              </w:rPr>
              <w:t>Ипподромная, д. 123</w:t>
            </w:r>
            <w:r w:rsidR="001A0F4C">
              <w:rPr>
                <w:color w:val="000000"/>
              </w:rPr>
              <w:t>, д. 125</w:t>
            </w:r>
          </w:p>
        </w:tc>
      </w:tr>
      <w:tr w:rsidR="002624CF" w:rsidTr="00AB29E5">
        <w:tc>
          <w:tcPr>
            <w:tcW w:w="609" w:type="dxa"/>
            <w:vMerge w:val="restart"/>
          </w:tcPr>
          <w:p w:rsidR="002624CF" w:rsidRDefault="002624CF" w:rsidP="002624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2624CF" w:rsidRDefault="002624CF" w:rsidP="002624CF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696" w:type="dxa"/>
          </w:tcPr>
          <w:p w:rsidR="002624CF" w:rsidRDefault="002624CF" w:rsidP="002624CF">
            <w:pPr>
              <w:pStyle w:val="ConsPlusNormal"/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696" w:type="dxa"/>
          </w:tcPr>
          <w:p w:rsidR="00115930" w:rsidRPr="0093149A" w:rsidRDefault="00115930" w:rsidP="00115930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сквера</w:t>
            </w:r>
            <w:r w:rsidRPr="0093149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обсуждалось с населением неоднократно, это подтверждается публикациями в социальных сетях</w:t>
            </w:r>
          </w:p>
          <w:p w:rsidR="00115930" w:rsidRPr="00115930" w:rsidRDefault="00115930" w:rsidP="00115930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930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593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Обсуждение проекта с жителями </w:t>
            </w:r>
            <w:hyperlink r:id="rId9" w:history="1">
              <w:r w:rsidRPr="00115930">
                <w:rPr>
                  <w:rFonts w:ascii="Arial" w:hAnsi="Arial" w:cs="Arial"/>
                  <w:color w:val="000000"/>
                  <w:sz w:val="20"/>
                  <w:szCs w:val="20"/>
                </w:rPr>
                <w:t>https://vk.com/wall-77532463_9881</w:t>
              </w:r>
            </w:hyperlink>
          </w:p>
          <w:p w:rsidR="00115930" w:rsidRPr="00115930" w:rsidRDefault="00115930" w:rsidP="00115930">
            <w:pPr>
              <w:pStyle w:val="aa"/>
              <w:tabs>
                <w:tab w:val="left" w:pos="240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115930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Опрос </w:t>
            </w:r>
            <w:hyperlink r:id="rId10" w:history="1">
              <w:r w:rsidRPr="00115930">
                <w:rPr>
                  <w:rFonts w:ascii="Arial" w:hAnsi="Arial" w:cs="Arial"/>
                  <w:color w:val="000000"/>
                  <w:sz w:val="20"/>
                  <w:szCs w:val="20"/>
                </w:rPr>
                <w:t>https://vk.com/wall-77532463_18662</w:t>
              </w:r>
            </w:hyperlink>
          </w:p>
          <w:p w:rsidR="007E7048" w:rsidRPr="007E7048" w:rsidRDefault="007E7048" w:rsidP="007E7048">
            <w:pPr>
              <w:pStyle w:val="ConsPlusNormal"/>
              <w:rPr>
                <w:color w:val="000000"/>
                <w:highlight w:val="yellow"/>
              </w:rPr>
            </w:pPr>
          </w:p>
        </w:tc>
      </w:tr>
      <w:tr w:rsidR="007E7048" w:rsidTr="00115930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  <w:shd w:val="clear" w:color="auto" w:fill="auto"/>
          </w:tcPr>
          <w:p w:rsidR="007E7048" w:rsidRPr="00115930" w:rsidRDefault="007E7048" w:rsidP="007E7048">
            <w:pPr>
              <w:pStyle w:val="ConsPlusNormal"/>
            </w:pPr>
            <w:r w:rsidRPr="00115930"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696" w:type="dxa"/>
            <w:shd w:val="clear" w:color="auto" w:fill="auto"/>
          </w:tcPr>
          <w:p w:rsidR="007E7048" w:rsidRPr="00115930" w:rsidRDefault="00115930" w:rsidP="007E7048">
            <w:pPr>
              <w:pStyle w:val="ConsPlusNormal"/>
            </w:pPr>
            <w:r w:rsidRPr="00115930">
              <w:t>99 чел</w:t>
            </w: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696" w:type="dxa"/>
          </w:tcPr>
          <w:p w:rsidR="007E7048" w:rsidRDefault="007E7048" w:rsidP="007E7048">
            <w:pPr>
              <w:pStyle w:val="ConsPlusNormal"/>
            </w:pPr>
            <w:r>
              <w:t>-</w:t>
            </w:r>
            <w:r w:rsidR="00115930">
              <w:t>23 чел – в опросе при первой встрече</w:t>
            </w:r>
          </w:p>
          <w:p w:rsidR="00115930" w:rsidRDefault="00115930" w:rsidP="007E7048">
            <w:pPr>
              <w:pStyle w:val="ConsPlusNormal"/>
            </w:pPr>
            <w:r>
              <w:t>- 567 чел – в опросе в социальной сети</w:t>
            </w: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696" w:type="dxa"/>
          </w:tcPr>
          <w:p w:rsidR="007E7048" w:rsidRDefault="00115930" w:rsidP="007E7048">
            <w:pPr>
              <w:pStyle w:val="ConsPlusNormal"/>
            </w:pPr>
            <w:r>
              <w:t>Итого: 689 чел.</w:t>
            </w:r>
          </w:p>
        </w:tc>
      </w:tr>
      <w:tr w:rsidR="007E7048" w:rsidTr="00AB29E5">
        <w:tc>
          <w:tcPr>
            <w:tcW w:w="609" w:type="dxa"/>
            <w:vMerge w:val="restart"/>
          </w:tcPr>
          <w:p w:rsidR="007E7048" w:rsidRDefault="007E7048" w:rsidP="007E70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696" w:type="dxa"/>
          </w:tcPr>
          <w:p w:rsidR="007E7048" w:rsidRDefault="007E7048" w:rsidP="007E7048">
            <w:pPr>
              <w:pStyle w:val="ConsPlusNormal"/>
            </w:pPr>
          </w:p>
        </w:tc>
      </w:tr>
      <w:tr w:rsidR="007E7048" w:rsidTr="00AB29E5">
        <w:tc>
          <w:tcPr>
            <w:tcW w:w="609" w:type="dxa"/>
            <w:vMerge/>
          </w:tcPr>
          <w:p w:rsidR="007E7048" w:rsidRDefault="007E7048" w:rsidP="007E7048">
            <w:pPr>
              <w:pStyle w:val="ConsPlusNormal"/>
            </w:pPr>
          </w:p>
        </w:tc>
        <w:tc>
          <w:tcPr>
            <w:tcW w:w="5046" w:type="dxa"/>
          </w:tcPr>
          <w:p w:rsidR="007E7048" w:rsidRDefault="007E7048" w:rsidP="007E7048">
            <w:pPr>
              <w:pStyle w:val="ConsPlusNormal"/>
            </w:pPr>
            <w:r>
              <w:t xml:space="preserve">Использование средств массовой информации и </w:t>
            </w:r>
            <w:r>
              <w:lastRenderedPageBreak/>
              <w:t>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696" w:type="dxa"/>
          </w:tcPr>
          <w:p w:rsidR="007E7048" w:rsidRDefault="00AB29E5" w:rsidP="007E7048">
            <w:pPr>
              <w:pStyle w:val="ConsPlusNormal"/>
            </w:pPr>
            <w:r>
              <w:lastRenderedPageBreak/>
              <w:t>Да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696" w:type="dxa"/>
          </w:tcPr>
          <w:p w:rsidR="00115930" w:rsidRPr="00DC3366" w:rsidRDefault="002A7962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15930" w:rsidRPr="00B9196E">
              <w:rPr>
                <w:b/>
                <w:color w:val="000000"/>
              </w:rPr>
              <w:t xml:space="preserve"> специальных информационных материалов из групп «Овсище, ДЭУ, Старое </w:t>
            </w:r>
            <w:proofErr w:type="spellStart"/>
            <w:r w:rsidR="00115930" w:rsidRPr="00B9196E">
              <w:rPr>
                <w:b/>
                <w:color w:val="000000"/>
              </w:rPr>
              <w:t>Запсковье</w:t>
            </w:r>
            <w:proofErr w:type="spellEnd"/>
            <w:r w:rsidR="00115930" w:rsidRPr="00B9196E">
              <w:rPr>
                <w:b/>
                <w:color w:val="000000"/>
              </w:rPr>
              <w:t>», «ПАИ», «Псковская городская Дума» (скриншоты и распечатки приложены к паспорту проекта</w:t>
            </w:r>
            <w:r w:rsidR="00115930" w:rsidRPr="00B9196E">
              <w:rPr>
                <w:color w:val="000000"/>
              </w:rPr>
              <w:t>)</w:t>
            </w:r>
            <w:r w:rsidR="00115930">
              <w:rPr>
                <w:color w:val="000000"/>
              </w:rPr>
              <w:t>, а именно:</w:t>
            </w:r>
          </w:p>
          <w:p w:rsid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5930">
              <w:rPr>
                <w:color w:val="000000"/>
              </w:rPr>
              <w:t xml:space="preserve">Встреча инициативных групп </w:t>
            </w:r>
          </w:p>
          <w:p w:rsidR="00115930" w:rsidRP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hyperlink r:id="rId11" w:history="1">
              <w:r w:rsidRPr="00115930">
                <w:rPr>
                  <w:color w:val="000000"/>
                </w:rPr>
                <w:t>https://vk.com/wall-77532463_18470</w:t>
              </w:r>
            </w:hyperlink>
            <w:r w:rsidRPr="00115930">
              <w:rPr>
                <w:color w:val="000000"/>
              </w:rPr>
              <w:t xml:space="preserve"> </w:t>
            </w:r>
          </w:p>
          <w:p w:rsid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5930">
              <w:rPr>
                <w:color w:val="000000"/>
              </w:rPr>
              <w:t>Про</w:t>
            </w:r>
            <w:r>
              <w:rPr>
                <w:color w:val="000000"/>
              </w:rPr>
              <w:t>т</w:t>
            </w:r>
            <w:r w:rsidRPr="00115930">
              <w:rPr>
                <w:color w:val="000000"/>
              </w:rPr>
              <w:t xml:space="preserve">ест против строительства заправки на Ипподромной </w:t>
            </w:r>
          </w:p>
          <w:p w:rsidR="00115930" w:rsidRP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hyperlink r:id="rId12" w:history="1">
              <w:r w:rsidRPr="00115930">
                <w:rPr>
                  <w:color w:val="000000"/>
                </w:rPr>
                <w:t>https://vk.com/wall-77532463_414</w:t>
              </w:r>
            </w:hyperlink>
          </w:p>
          <w:p w:rsidR="00115930" w:rsidRP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hyperlink r:id="rId13" w:history="1">
              <w:r w:rsidRPr="00115930">
                <w:rPr>
                  <w:color w:val="000000"/>
                </w:rPr>
                <w:t>https://vk.com/wall550032257_4442</w:t>
              </w:r>
            </w:hyperlink>
          </w:p>
          <w:p w:rsidR="00115930" w:rsidRP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5930">
              <w:rPr>
                <w:color w:val="000000"/>
              </w:rPr>
              <w:t>ПАИ</w:t>
            </w:r>
          </w:p>
          <w:p w:rsidR="00115930" w:rsidRPr="00115930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hyperlink r:id="rId14" w:history="1">
              <w:r w:rsidRPr="00115930">
                <w:rPr>
                  <w:color w:val="000000"/>
                </w:rPr>
                <w:t>https://informpskov.ru/news/461253.html</w:t>
              </w:r>
            </w:hyperlink>
          </w:p>
          <w:p w:rsidR="00AB29E5" w:rsidRDefault="00115930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hyperlink r:id="rId15" w:history="1">
              <w:r w:rsidRPr="00115930">
                <w:rPr>
                  <w:color w:val="000000"/>
                </w:rPr>
                <w:t>https://vk.com/wall-77532463_18757</w:t>
              </w:r>
            </w:hyperlink>
          </w:p>
          <w:p w:rsidR="002A7962" w:rsidRDefault="002A7962" w:rsidP="00115930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ПЛН</w:t>
            </w:r>
          </w:p>
          <w:p w:rsidR="002A7962" w:rsidRPr="007E7048" w:rsidRDefault="002A7962" w:rsidP="00115930">
            <w:pPr>
              <w:widowControl w:val="0"/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rStyle w:val="layout"/>
              </w:rPr>
              <w:t xml:space="preserve">6) </w:t>
            </w:r>
            <w:hyperlink r:id="rId16" w:tgtFrame="_blank" w:history="1">
              <w:r>
                <w:rPr>
                  <w:rStyle w:val="a9"/>
                </w:rPr>
                <w:t>https://vk.com/wall-77532463_18870</w:t>
              </w:r>
            </w:hyperlink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rPr>
                <w:color w:val="000000"/>
              </w:rPr>
              <w:t>2025</w:t>
            </w:r>
            <w:r w:rsidRPr="006126E5">
              <w:rPr>
                <w:color w:val="000000"/>
              </w:rPr>
              <w:t xml:space="preserve"> г.</w:t>
            </w:r>
          </w:p>
        </w:tc>
      </w:tr>
      <w:tr w:rsidR="00AB29E5" w:rsidTr="00AB29E5">
        <w:tc>
          <w:tcPr>
            <w:tcW w:w="609" w:type="dxa"/>
            <w:vMerge w:val="restart"/>
          </w:tcPr>
          <w:p w:rsidR="00AB29E5" w:rsidRDefault="00AB29E5" w:rsidP="00AB29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Руководитель инициативной группы: (фамилия, имя, отчество (при наличии), контактный телефон,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3696" w:type="dxa"/>
          </w:tcPr>
          <w:p w:rsidR="001A0F4C" w:rsidRPr="001A0F4C" w:rsidRDefault="001A0F4C" w:rsidP="001A0F4C">
            <w:pPr>
              <w:pStyle w:val="ConsPlusNormal"/>
              <w:tabs>
                <w:tab w:val="left" w:pos="240"/>
              </w:tabs>
              <w:ind w:left="-45"/>
              <w:rPr>
                <w:color w:val="000000"/>
              </w:rPr>
            </w:pPr>
            <w:r w:rsidRPr="001A0F4C">
              <w:rPr>
                <w:color w:val="000000"/>
              </w:rPr>
              <w:t>Драгунова Оксана Александровна</w:t>
            </w:r>
          </w:p>
          <w:p w:rsidR="00AB29E5" w:rsidRDefault="001A0F4C" w:rsidP="001A0F4C">
            <w:pPr>
              <w:pStyle w:val="ConsPlusNormal"/>
              <w:tabs>
                <w:tab w:val="left" w:pos="240"/>
              </w:tabs>
              <w:ind w:left="-45"/>
            </w:pPr>
            <w:r w:rsidRPr="001A0F4C">
              <w:rPr>
                <w:color w:val="000000"/>
              </w:rPr>
              <w:t>8 911 380 12 94</w:t>
            </w:r>
          </w:p>
        </w:tc>
      </w:tr>
      <w:tr w:rsidR="00B34C0F" w:rsidTr="00AB29E5">
        <w:tc>
          <w:tcPr>
            <w:tcW w:w="609" w:type="dxa"/>
            <w:vMerge/>
          </w:tcPr>
          <w:p w:rsidR="00B34C0F" w:rsidRDefault="00B34C0F" w:rsidP="00B34C0F">
            <w:pPr>
              <w:pStyle w:val="ConsPlusNormal"/>
            </w:pPr>
          </w:p>
        </w:tc>
        <w:tc>
          <w:tcPr>
            <w:tcW w:w="5046" w:type="dxa"/>
          </w:tcPr>
          <w:p w:rsidR="00B34C0F" w:rsidRDefault="00B34C0F" w:rsidP="00B34C0F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696" w:type="dxa"/>
          </w:tcPr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>Драгунова Оксана Александровна,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</w:t>
            </w:r>
            <w:proofErr w:type="spellStart"/>
            <w:r w:rsidRPr="001A0F4C">
              <w:t>Мешковая</w:t>
            </w:r>
            <w:proofErr w:type="spellEnd"/>
            <w:r w:rsidRPr="001A0F4C">
              <w:t xml:space="preserve"> Людмила Михайловна,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</w:t>
            </w:r>
            <w:proofErr w:type="spellStart"/>
            <w:r w:rsidRPr="001A0F4C">
              <w:t>Каледина</w:t>
            </w:r>
            <w:proofErr w:type="spellEnd"/>
            <w:r w:rsidRPr="001A0F4C">
              <w:t xml:space="preserve"> Наталья Викторовна,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</w:t>
            </w:r>
            <w:proofErr w:type="spellStart"/>
            <w:r w:rsidRPr="001A0F4C">
              <w:t>Адреанова</w:t>
            </w:r>
            <w:proofErr w:type="spellEnd"/>
            <w:r w:rsidRPr="001A0F4C">
              <w:t xml:space="preserve"> Елена Васильевна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>, Просвирина Дарья Владимировна,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Щеглова Галина Георгиевна,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</w:t>
            </w:r>
            <w:proofErr w:type="spellStart"/>
            <w:r w:rsidRPr="001A0F4C">
              <w:t>Бильдина</w:t>
            </w:r>
            <w:proofErr w:type="spellEnd"/>
            <w:r w:rsidRPr="001A0F4C">
              <w:t xml:space="preserve"> Виктория Владимировна,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Кудрявцева Ирина Алексеевна,</w:t>
            </w:r>
          </w:p>
          <w:p w:rsidR="001A0F4C" w:rsidRPr="001A0F4C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Алексеева Анна Николаевна,</w:t>
            </w:r>
          </w:p>
          <w:p w:rsidR="00B34C0F" w:rsidRPr="0080692F" w:rsidRDefault="001A0F4C" w:rsidP="00B34C0F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1A0F4C">
              <w:t xml:space="preserve"> Морозова Татьяна Васильевна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t>-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 w:val="restart"/>
          </w:tcPr>
          <w:p w:rsidR="00AB29E5" w:rsidRDefault="00AB29E5" w:rsidP="00AB29E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  <w:r w:rsidR="00CF48A2">
              <w:t xml:space="preserve"> 03.10.2024г.</w:t>
            </w:r>
          </w:p>
        </w:tc>
        <w:tc>
          <w:tcPr>
            <w:tcW w:w="3696" w:type="dxa"/>
          </w:tcPr>
          <w:p w:rsidR="00AB29E5" w:rsidRDefault="00CF48A2" w:rsidP="00AB29E5">
            <w:pPr>
              <w:pStyle w:val="ConsPlusNormal"/>
            </w:pPr>
            <w:r>
              <w:t>99 чел</w:t>
            </w:r>
          </w:p>
        </w:tc>
      </w:tr>
      <w:tr w:rsidR="00AB29E5" w:rsidTr="00AB29E5">
        <w:tc>
          <w:tcPr>
            <w:tcW w:w="609" w:type="dxa"/>
            <w:vMerge/>
          </w:tcPr>
          <w:p w:rsidR="00AB29E5" w:rsidRDefault="00AB29E5" w:rsidP="00AB29E5">
            <w:pPr>
              <w:pStyle w:val="ConsPlusNormal"/>
            </w:pP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в результате выявления мнения граждан по вопросу о поддержке проекта также путем опроса граждан, сбора их подписей, которое проводилось в период: с ________ по ________</w:t>
            </w:r>
          </w:p>
        </w:tc>
        <w:tc>
          <w:tcPr>
            <w:tcW w:w="3696" w:type="dxa"/>
          </w:tcPr>
          <w:p w:rsidR="00AB29E5" w:rsidRDefault="00AB29E5" w:rsidP="00AB29E5">
            <w:pPr>
              <w:pStyle w:val="ConsPlusNormal"/>
            </w:pPr>
            <w:r>
              <w:t>-</w:t>
            </w:r>
          </w:p>
        </w:tc>
      </w:tr>
      <w:tr w:rsidR="00AB29E5" w:rsidTr="00AB29E5">
        <w:tc>
          <w:tcPr>
            <w:tcW w:w="609" w:type="dxa"/>
          </w:tcPr>
          <w:p w:rsidR="00AB29E5" w:rsidRDefault="00AB29E5" w:rsidP="00AB29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AB29E5" w:rsidRDefault="00AB29E5" w:rsidP="00AB29E5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696" w:type="dxa"/>
          </w:tcPr>
          <w:p w:rsidR="00AB29E5" w:rsidRDefault="00EB02B2" w:rsidP="00AB29E5">
            <w:pPr>
              <w:pStyle w:val="ConsPlusNormal"/>
            </w:pPr>
            <w:r>
              <w:t>4</w:t>
            </w:r>
            <w:r w:rsidR="00AB29E5">
              <w:t>.10.2024г.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" w:name="Par290"/>
      <w:bookmarkEnd w:id="1"/>
      <w:r>
        <w:t>Таблица 1</w:t>
      </w:r>
    </w:p>
    <w:p w:rsidR="00CF48A2" w:rsidRDefault="00CF48A2" w:rsidP="00CF48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061"/>
        <w:gridCol w:w="1757"/>
      </w:tblGrid>
      <w:tr w:rsidR="00CF48A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  <w:jc w:val="center"/>
            </w:pPr>
            <w:r>
              <w:t>Стоимость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CF48A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jc w:val="center"/>
            </w:pPr>
            <w:r>
              <w:t>1 191,79422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</w:p>
        </w:tc>
      </w:tr>
      <w:tr w:rsidR="00CF48A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jc w:val="center"/>
            </w:pPr>
            <w:r>
              <w:t>2 206,73786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</w:p>
        </w:tc>
      </w:tr>
      <w:tr w:rsidR="00CF48A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</w:p>
        </w:tc>
      </w:tr>
      <w:tr w:rsidR="00CF48A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  <w:r>
              <w:t>Прочее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jc w:val="center"/>
            </w:pPr>
            <w:r w:rsidRPr="002C6913">
              <w:t>59</w:t>
            </w:r>
            <w:r>
              <w:t>,</w:t>
            </w:r>
            <w:r w:rsidRPr="002C6913">
              <w:t>99687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  <w:r>
              <w:t>2% непредвиденные затраты</w:t>
            </w:r>
          </w:p>
        </w:tc>
      </w:tr>
      <w:tr w:rsidR="00CF48A2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jc w:val="center"/>
            </w:pPr>
            <w:r>
              <w:t>3 458,52895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1B54E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2" w:name="Par313"/>
      <w:bookmarkEnd w:id="2"/>
      <w:r>
        <w:t>Таблица 2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953"/>
        <w:gridCol w:w="2494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F48A2" w:rsidP="004A7488">
            <w:pPr>
              <w:pStyle w:val="ConsPlusNormal"/>
            </w:pPr>
            <w:r w:rsidRPr="00CF48A2">
              <w:t>345,8529</w:t>
            </w:r>
          </w:p>
        </w:tc>
      </w:tr>
      <w:tr w:rsidR="00207C8E" w:rsidTr="004A748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bookmarkStart w:id="3" w:name="Par321"/>
            <w:bookmarkEnd w:id="3"/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F48A2" w:rsidP="001A0F4C">
            <w:pPr>
              <w:pStyle w:val="ConsPlusNormal"/>
            </w:pPr>
            <w:r w:rsidRPr="00CF48A2">
              <w:t>2 892,67605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F48A2" w:rsidP="001A0F4C">
            <w:pPr>
              <w:pStyle w:val="ConsPlusNormal"/>
            </w:pPr>
            <w:r>
              <w:t>3 458,52895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4" w:name="Par336"/>
      <w:bookmarkEnd w:id="4"/>
      <w:r>
        <w:lastRenderedPageBreak/>
        <w:t>&lt;*&gt; Прилагаются гарантийные письма юридических лиц, подтверждающие заявленные суммы поступлений из указанных источников (далее - гарантийные письма).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5" w:name="Par340"/>
      <w:bookmarkEnd w:id="5"/>
      <w:r>
        <w:t>Таблица 3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5499"/>
        <w:gridCol w:w="3067"/>
      </w:tblGrid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юридических лиц, индивидуальных предпринимателей &lt;*&gt;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207C8E" w:rsidRDefault="00207C8E" w:rsidP="004A748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1A0F4C" w:rsidP="001A0F4C">
            <w:pPr>
              <w:pStyle w:val="ConsPlusNormal"/>
            </w:pPr>
            <w:r w:rsidRPr="001A0F4C">
              <w:t>АО «ГК «ЛУГ»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1A0F4C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6" w:name="Par357"/>
      <w:bookmarkEnd w:id="6"/>
      <w:r>
        <w:t>&lt;*&gt; В соответствии с гарантийными письмами.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7" w:name="Par361"/>
      <w:bookmarkEnd w:id="7"/>
      <w:r>
        <w:t>Таблица 4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324"/>
        <w:gridCol w:w="2098"/>
      </w:tblGrid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1A0F4C">
            <w:pPr>
              <w:pStyle w:val="ConsPlusNormal"/>
            </w:pPr>
            <w:r>
              <w:rPr>
                <w:color w:val="000000"/>
              </w:rPr>
              <w:t xml:space="preserve">Участие в </w:t>
            </w:r>
            <w:r w:rsidR="001A0F4C">
              <w:rPr>
                <w:color w:val="000000"/>
              </w:rPr>
              <w:t xml:space="preserve">озеленении (посадка </w:t>
            </w:r>
            <w:proofErr w:type="spellStart"/>
            <w:r w:rsidR="001A0F4C">
              <w:rPr>
                <w:color w:val="000000"/>
              </w:rPr>
              <w:t>гартензий</w:t>
            </w:r>
            <w:proofErr w:type="spellEnd"/>
            <w:r w:rsidR="001A0F4C">
              <w:rPr>
                <w:color w:val="000000"/>
              </w:rPr>
              <w:t xml:space="preserve"> и ее аналогов)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F48A2" w:rsidP="001A0F4C">
            <w:pPr>
              <w:pStyle w:val="ConsPlusNormal"/>
            </w:pPr>
            <w:r>
              <w:t>19,19181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F48A2" w:rsidP="004A7488">
            <w:pPr>
              <w:pStyle w:val="ConsPlusNormal"/>
            </w:pPr>
            <w:r>
              <w:t>19,19181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8" w:name="Par385"/>
      <w:bookmarkEnd w:id="8"/>
      <w:r>
        <w:t>&lt;*&gt; К проекту необходимо приложить гарантийные письма.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9" w:name="Par389"/>
      <w:bookmarkEnd w:id="9"/>
      <w:r>
        <w:t>Таблица 5</w:t>
      </w:r>
    </w:p>
    <w:p w:rsidR="00CD36D8" w:rsidRDefault="00CD36D8" w:rsidP="00207C8E">
      <w:pPr>
        <w:pStyle w:val="ConsPlusNormal"/>
        <w:jc w:val="right"/>
        <w:outlineLvl w:val="2"/>
      </w:pP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361"/>
        <w:gridCol w:w="1531"/>
        <w:gridCol w:w="2041"/>
        <w:gridCol w:w="2154"/>
        <w:gridCol w:w="7"/>
      </w:tblGrid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</w:tr>
    </w:tbl>
    <w:p w:rsidR="00CD36D8" w:rsidRDefault="00CD36D8" w:rsidP="00207C8E">
      <w:pPr>
        <w:pStyle w:val="ConsPlusNormal"/>
        <w:jc w:val="right"/>
        <w:outlineLvl w:val="2"/>
      </w:pPr>
    </w:p>
    <w:p w:rsidR="00207C8E" w:rsidRDefault="00207C8E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207C8E" w:rsidRDefault="00207C8E" w:rsidP="00207C8E">
      <w:pPr>
        <w:pStyle w:val="ConsPlusNormal"/>
        <w:sectPr w:rsidR="00207C8E"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0" w:name="Par429"/>
      <w:bookmarkEnd w:id="10"/>
      <w:r>
        <w:t>Таблица 6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1531"/>
        <w:gridCol w:w="2041"/>
        <w:gridCol w:w="2154"/>
      </w:tblGrid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sectPr w:rsidR="00207C8E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1" w:name="Par469"/>
      <w:bookmarkEnd w:id="11"/>
      <w:r>
        <w:t>Таблица 7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896"/>
        <w:gridCol w:w="2551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80692F" w:rsidP="00471DB1">
            <w:pPr>
              <w:pStyle w:val="ConsPlusNormal"/>
            </w:pP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>ители близлежащих жилых домов, расположенных по следующим адресам</w:t>
            </w:r>
            <w:r w:rsidR="001A0F4C" w:rsidRPr="00A9535C">
              <w:rPr>
                <w:color w:val="000000"/>
              </w:rPr>
              <w:t xml:space="preserve">: </w:t>
            </w:r>
            <w:r w:rsidR="001A0F4C" w:rsidRPr="00CD36D8">
              <w:rPr>
                <w:color w:val="000000"/>
              </w:rPr>
              <w:t xml:space="preserve">г. Псков, </w:t>
            </w:r>
            <w:r w:rsidR="001A0F4C">
              <w:rPr>
                <w:color w:val="000000"/>
              </w:rPr>
              <w:t xml:space="preserve">ул. </w:t>
            </w:r>
            <w:r w:rsidR="001A0F4C" w:rsidRPr="001A0F4C">
              <w:rPr>
                <w:color w:val="000000"/>
              </w:rPr>
              <w:t>Ипподромная, д. 123</w:t>
            </w:r>
            <w:r w:rsidR="001A0F4C">
              <w:rPr>
                <w:color w:val="000000"/>
              </w:rPr>
              <w:t>, д. 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1A0F4C" w:rsidP="00CD36D8">
            <w:pPr>
              <w:pStyle w:val="ConsPlusNormal"/>
            </w:pPr>
            <w:r>
              <w:rPr>
                <w:color w:val="000000"/>
              </w:rPr>
              <w:t>136</w:t>
            </w:r>
          </w:p>
        </w:tc>
      </w:tr>
      <w:tr w:rsidR="00CF48A2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Жители улиц А. Невского, </w:t>
            </w:r>
            <w:proofErr w:type="spellStart"/>
            <w:r>
              <w:rPr>
                <w:color w:val="000000"/>
              </w:rPr>
              <w:t>Застенного</w:t>
            </w:r>
            <w:proofErr w:type="spellEnd"/>
            <w:r>
              <w:rPr>
                <w:color w:val="000000"/>
              </w:rPr>
              <w:t xml:space="preserve"> переулка, Гущина, </w:t>
            </w:r>
            <w:proofErr w:type="spellStart"/>
            <w:r>
              <w:rPr>
                <w:color w:val="000000"/>
              </w:rPr>
              <w:t>Гдовской</w:t>
            </w:r>
            <w:proofErr w:type="spellEnd"/>
            <w:r>
              <w:rPr>
                <w:color w:val="000000"/>
              </w:rPr>
              <w:t>, Ипподромной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2" w:rsidRDefault="00CF48A2" w:rsidP="00CF48A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2760</w:t>
            </w:r>
          </w:p>
        </w:tc>
      </w:tr>
      <w:tr w:rsidR="00207C8E" w:rsidTr="004A7488"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F48A2" w:rsidP="004A7488">
            <w:pPr>
              <w:pStyle w:val="ConsPlusNormal"/>
            </w:pPr>
            <w:r>
              <w:t>2896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2" w:name="Par487"/>
      <w:bookmarkEnd w:id="12"/>
      <w:r>
        <w:t xml:space="preserve">&lt;*&gt;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</w:t>
      </w:r>
      <w:proofErr w:type="spellStart"/>
      <w:r>
        <w:t>благополучателями</w:t>
      </w:r>
      <w:proofErr w:type="spellEnd"/>
      <w:r>
        <w:t xml:space="preserve"> будут являться жители улиц, которые регулярно будут пользоваться результатом выполненных работ; 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</w:t>
      </w:r>
      <w:proofErr w:type="spellStart"/>
      <w:r>
        <w:t>благополучателями</w:t>
      </w:r>
      <w:proofErr w:type="spellEnd"/>
      <w:r>
        <w:t xml:space="preserve">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</w:t>
      </w:r>
      <w:proofErr w:type="spellStart"/>
      <w:r>
        <w:t>благополучателями</w:t>
      </w:r>
      <w:proofErr w:type="spellEnd"/>
      <w:r>
        <w:t xml:space="preserve"> будут являться непосредственные посетители этих объектов, детских площадок - дети до 14 лет, их родители;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Перечень прилагаемых к проекту документов на ___ л. в ___ экз.</w:t>
      </w:r>
    </w:p>
    <w:p w:rsidR="00207C8E" w:rsidRDefault="00207C8E" w:rsidP="00207C8E">
      <w:pPr>
        <w:pStyle w:val="ConsPlusNormal"/>
        <w:jc w:val="both"/>
      </w:pPr>
    </w:p>
    <w:p w:rsidR="00207C8E" w:rsidRDefault="004A7488" w:rsidP="00207C8E">
      <w:pPr>
        <w:pStyle w:val="ConsPlusNonformat"/>
        <w:jc w:val="both"/>
      </w:pPr>
      <w:r>
        <w:t xml:space="preserve"> Руководитель инициативной группы       </w:t>
      </w:r>
      <w:r w:rsidR="00207C8E">
        <w:t xml:space="preserve"> __________ </w:t>
      </w:r>
      <w:r w:rsidR="001A0F4C">
        <w:rPr>
          <w:sz w:val="24"/>
          <w:szCs w:val="24"/>
        </w:rPr>
        <w:t>Драгунова О.А</w:t>
      </w:r>
      <w:r>
        <w:rPr>
          <w:sz w:val="24"/>
          <w:szCs w:val="24"/>
        </w:rPr>
        <w:t>.</w:t>
      </w:r>
    </w:p>
    <w:p w:rsidR="00207C8E" w:rsidRDefault="00207C8E" w:rsidP="00207C8E">
      <w:pPr>
        <w:pStyle w:val="ConsPlusNonformat"/>
        <w:jc w:val="both"/>
      </w:pPr>
      <w:r>
        <w:t xml:space="preserve">    (Наименование инициатора проекта)    (подпись) (фамилия, имя, отчество)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________________________________________________ _________ ________________</w:t>
      </w:r>
    </w:p>
    <w:p w:rsidR="00207C8E" w:rsidRDefault="00207C8E" w:rsidP="00207C8E">
      <w:pPr>
        <w:pStyle w:val="ConsPlusNonformat"/>
        <w:jc w:val="both"/>
      </w:pPr>
      <w:proofErr w:type="gramStart"/>
      <w:r>
        <w:t>(Должность руководителя местной администрации    (подпись) (фамилия, имя,</w:t>
      </w:r>
      <w:proofErr w:type="gramEnd"/>
    </w:p>
    <w:p w:rsidR="00207C8E" w:rsidRDefault="00207C8E" w:rsidP="00207C8E">
      <w:pPr>
        <w:pStyle w:val="ConsPlusNonformat"/>
        <w:jc w:val="both"/>
      </w:pPr>
      <w:r>
        <w:t xml:space="preserve"> </w:t>
      </w:r>
      <w:proofErr w:type="gramStart"/>
      <w:r>
        <w:t>муниципального образования Псковской области)              отчество) &lt;1&gt;</w:t>
      </w:r>
      <w:proofErr w:type="gramEnd"/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М.П.</w:t>
      </w: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3" w:name="Par500"/>
      <w:bookmarkEnd w:id="13"/>
      <w:r>
        <w:t>&lt;1&gt; Заполняется при направлении проекта местной администрацией муниципального образования Псковской области в составе заявки.</w:t>
      </w:r>
    </w:p>
    <w:p w:rsidR="004A7488" w:rsidRDefault="004A7488"/>
    <w:sectPr w:rsidR="004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01" w:rsidRDefault="00044D01" w:rsidP="00207C8E">
      <w:pPr>
        <w:spacing w:after="0" w:line="240" w:lineRule="auto"/>
      </w:pPr>
      <w:r>
        <w:separator/>
      </w:r>
    </w:p>
  </w:endnote>
  <w:endnote w:type="continuationSeparator" w:id="0">
    <w:p w:rsidR="00044D01" w:rsidRDefault="00044D01" w:rsidP="0020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01" w:rsidRDefault="00044D01" w:rsidP="00207C8E">
      <w:pPr>
        <w:spacing w:after="0" w:line="240" w:lineRule="auto"/>
      </w:pPr>
      <w:r>
        <w:separator/>
      </w:r>
    </w:p>
  </w:footnote>
  <w:footnote w:type="continuationSeparator" w:id="0">
    <w:p w:rsidR="00044D01" w:rsidRDefault="00044D01" w:rsidP="0020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Pr="00CD36D8" w:rsidRDefault="00FB23C7" w:rsidP="00CD3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F5"/>
    <w:multiLevelType w:val="hybridMultilevel"/>
    <w:tmpl w:val="98B4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956"/>
    <w:multiLevelType w:val="hybridMultilevel"/>
    <w:tmpl w:val="F9F6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61D"/>
    <w:multiLevelType w:val="hybridMultilevel"/>
    <w:tmpl w:val="DB4C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43008"/>
    <w:multiLevelType w:val="hybridMultilevel"/>
    <w:tmpl w:val="D640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E"/>
    <w:rsid w:val="000142AD"/>
    <w:rsid w:val="00044D01"/>
    <w:rsid w:val="000B4D56"/>
    <w:rsid w:val="00115930"/>
    <w:rsid w:val="001A0F4C"/>
    <w:rsid w:val="00207C8E"/>
    <w:rsid w:val="002624CF"/>
    <w:rsid w:val="00285CE8"/>
    <w:rsid w:val="002A7962"/>
    <w:rsid w:val="00421717"/>
    <w:rsid w:val="00471DB1"/>
    <w:rsid w:val="004A7488"/>
    <w:rsid w:val="0054087B"/>
    <w:rsid w:val="00591B73"/>
    <w:rsid w:val="00665087"/>
    <w:rsid w:val="006A39AB"/>
    <w:rsid w:val="007413B3"/>
    <w:rsid w:val="007E1764"/>
    <w:rsid w:val="007E38E9"/>
    <w:rsid w:val="007E7048"/>
    <w:rsid w:val="007F2839"/>
    <w:rsid w:val="0080692F"/>
    <w:rsid w:val="008A298B"/>
    <w:rsid w:val="009039A7"/>
    <w:rsid w:val="00983DC9"/>
    <w:rsid w:val="00AB29E5"/>
    <w:rsid w:val="00AC6532"/>
    <w:rsid w:val="00AE2BA0"/>
    <w:rsid w:val="00B34C0F"/>
    <w:rsid w:val="00B54B8E"/>
    <w:rsid w:val="00B87855"/>
    <w:rsid w:val="00C9787E"/>
    <w:rsid w:val="00CD2B7C"/>
    <w:rsid w:val="00CD36D8"/>
    <w:rsid w:val="00CF48A2"/>
    <w:rsid w:val="00D56DA6"/>
    <w:rsid w:val="00D713DB"/>
    <w:rsid w:val="00EB02B2"/>
    <w:rsid w:val="00F55A3D"/>
    <w:rsid w:val="00FB23C7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2A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2A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vk.com/wall550032257_444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wall-77532463_41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wall-77532463_1887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77532463_184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7532463_18757" TargetMode="External"/><Relationship Id="rId10" Type="http://schemas.openxmlformats.org/officeDocument/2006/relationships/hyperlink" Target="https://vk.com/wall-77532463_1866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wall-77532463_9881" TargetMode="External"/><Relationship Id="rId14" Type="http://schemas.openxmlformats.org/officeDocument/2006/relationships/hyperlink" Target="https://informpskov.ru/news/4612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Веселовская</dc:creator>
  <cp:lastModifiedBy>Егорова Христина Юрьевна</cp:lastModifiedBy>
  <cp:revision>2</cp:revision>
  <dcterms:created xsi:type="dcterms:W3CDTF">2024-10-07T14:17:00Z</dcterms:created>
  <dcterms:modified xsi:type="dcterms:W3CDTF">2024-10-07T14:17:00Z</dcterms:modified>
</cp:coreProperties>
</file>