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B3F6" w14:textId="3BBE2154" w:rsidR="008C2F8C" w:rsidRDefault="008C2F8C" w:rsidP="008C2F8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noProof/>
          <w:lang w:eastAsia="ru-RU"/>
        </w:rPr>
        <w:drawing>
          <wp:inline distT="0" distB="0" distL="0" distR="0" wp14:anchorId="2DADF5E5" wp14:editId="05BF18A1">
            <wp:extent cx="4762500" cy="2619375"/>
            <wp:effectExtent l="0" t="0" r="0" b="9525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56CE" w14:textId="77777777" w:rsidR="008C2F8C" w:rsidRPr="008C2F8C" w:rsidRDefault="008C2F8C" w:rsidP="008C2F8C"/>
    <w:p w14:paraId="4FFBAB19" w14:textId="706A5B69" w:rsidR="008C2F8C" w:rsidRDefault="008C2F8C" w:rsidP="008C2F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Пскова                 от 23 апреля 2013 года № 950 «Об утверждении Положения о размещении нестационарных торговых объектов и объектов оказания услуг                                    на территории города Пскова»</w:t>
      </w:r>
    </w:p>
    <w:p w14:paraId="04DFC9E8" w14:textId="77777777" w:rsidR="008C2F8C" w:rsidRPr="00FE3128" w:rsidRDefault="008C2F8C" w:rsidP="008C2F8C">
      <w:pPr>
        <w:spacing w:after="0" w:line="240" w:lineRule="auto"/>
      </w:pPr>
    </w:p>
    <w:p w14:paraId="18518B5F" w14:textId="5418B86B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8C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 Федеральным законом                          от 28.12.2009 № 381 - ФЗ «Об основах государственного регулирования торговой деятельности в Российской Федерации», Приказом Государственного комитета Псковской области по экономическому развитию, промышленности и торговле  от 16.02.2011 № 55 «О порядке разработки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2F8C">
        <w:rPr>
          <w:rFonts w:ascii="Times New Roman" w:hAnsi="Times New Roman" w:cs="Times New Roman"/>
          <w:sz w:val="28"/>
          <w:szCs w:val="28"/>
        </w:rPr>
        <w:t>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</w:t>
      </w:r>
      <w:r w:rsidR="00BE3478">
        <w:rPr>
          <w:rFonts w:ascii="Times New Roman" w:hAnsi="Times New Roman" w:cs="Times New Roman"/>
          <w:sz w:val="28"/>
          <w:szCs w:val="28"/>
        </w:rPr>
        <w:t xml:space="preserve"> экономического обоснования стоимости предоставления мест под размещение НТО,</w:t>
      </w: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B5C76EF" w14:textId="77777777" w:rsidR="008C2F8C" w:rsidRPr="009C260E" w:rsidRDefault="008C2F8C" w:rsidP="008C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B63DF" w14:textId="77777777" w:rsidR="008C2F8C" w:rsidRDefault="008C2F8C" w:rsidP="008C2F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84352ED" w14:textId="77777777" w:rsidR="008C2F8C" w:rsidRDefault="008C2F8C" w:rsidP="008C2F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38008" w14:textId="7B0BA81A" w:rsidR="008C2F8C" w:rsidRPr="008C2F8C" w:rsidRDefault="008C2F8C" w:rsidP="008C2F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города Пскова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                       от 23 апреля 2013 года № 950 «Об утверждении Положения о размещении нестационарных торговых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объектов и объектов оказания услуг                                    на территории города Пскова»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) следующие изменения: </w:t>
      </w:r>
    </w:p>
    <w:p w14:paraId="1D837D50" w14:textId="3EFE871C" w:rsidR="008C2F8C" w:rsidRDefault="008C2F8C" w:rsidP="008C2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Приложение 5 «Расчет размера платы за размещение нестационарных торговых объектов и объектов оказания услуг на территории города Пскова» к Положению изложить в следующей редакции согласно Приложению                           к настоящему постановлению</w:t>
      </w:r>
      <w:r w:rsidR="00B21207">
        <w:rPr>
          <w:rFonts w:ascii="Times New Roman" w:hAnsi="Times New Roman" w:cs="Times New Roman"/>
          <w:sz w:val="28"/>
          <w:szCs w:val="28"/>
        </w:rPr>
        <w:t>;</w:t>
      </w:r>
    </w:p>
    <w:p w14:paraId="459213B7" w14:textId="5358C21D" w:rsidR="00B21207" w:rsidRPr="00E16D6D" w:rsidRDefault="00B21207" w:rsidP="008C2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Комитету по размещению некапитальных объектов Администрации города Пскова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Ю.В.) предусмотреть меры поддержки потенциальных </w:t>
      </w:r>
      <w:r w:rsidR="00114BFC">
        <w:rPr>
          <w:rFonts w:ascii="Times New Roman" w:hAnsi="Times New Roman" w:cs="Times New Roman"/>
          <w:sz w:val="28"/>
          <w:szCs w:val="28"/>
        </w:rPr>
        <w:t>адресатов предполагаемого правового регулирования</w:t>
      </w:r>
      <w:r w:rsidR="00114BFC">
        <w:rPr>
          <w:rFonts w:ascii="Times New Roman" w:hAnsi="Times New Roman" w:cs="Times New Roman"/>
          <w:sz w:val="28"/>
          <w:szCs w:val="28"/>
        </w:rPr>
        <w:t>.</w:t>
      </w:r>
      <w:r w:rsidR="00114BFC">
        <w:rPr>
          <w:rFonts w:ascii="Times New Roman" w:hAnsi="Times New Roman" w:cs="Times New Roman"/>
          <w:sz w:val="28"/>
          <w:szCs w:val="28"/>
        </w:rPr>
        <w:t xml:space="preserve"> </w:t>
      </w:r>
      <w:r w:rsidR="00114B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86B27B3" w14:textId="3BD209DD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80773D">
        <w:rPr>
          <w:rFonts w:ascii="Times New Roman" w:hAnsi="Times New Roman" w:cs="Times New Roman"/>
          <w:sz w:val="28"/>
          <w:szCs w:val="28"/>
        </w:rPr>
        <w:t>2.</w:t>
      </w: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B514B" w:rsidRPr="00DB514B">
        <w:rPr>
          <w:rFonts w:ascii="Times New Roman" w:hAnsi="Times New Roman" w:cs="Times New Roman"/>
          <w:sz w:val="28"/>
          <w:szCs w:val="28"/>
        </w:rPr>
        <w:t xml:space="preserve"> </w:t>
      </w:r>
      <w:r w:rsidR="00DB514B">
        <w:rPr>
          <w:rFonts w:ascii="Times New Roman" w:hAnsi="Times New Roman" w:cs="Times New Roman"/>
          <w:sz w:val="28"/>
          <w:szCs w:val="28"/>
        </w:rPr>
        <w:t>для вновь устанавливаемых нестационарных торговых объектов на территории города Пскова.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DEDC5D" w14:textId="77777777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DB8A98F" w14:textId="41E2ED51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возложить               на </w:t>
      </w:r>
      <w:r w:rsidR="00AD0B8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  <w:r w:rsidR="00AD0B84">
        <w:rPr>
          <w:rFonts w:ascii="Times New Roman" w:hAnsi="Times New Roman" w:cs="Times New Roman"/>
          <w:sz w:val="28"/>
          <w:szCs w:val="28"/>
        </w:rPr>
        <w:t>Ульянова А.М.</w:t>
      </w:r>
    </w:p>
    <w:p w14:paraId="304DC19F" w14:textId="77777777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AF2E" w14:textId="77777777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236F4" w14:textId="77777777" w:rsidR="008C2F8C" w:rsidRDefault="008C2F8C" w:rsidP="008C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2EDCE" w14:textId="77777777" w:rsidR="008C2F8C" w:rsidRPr="00091503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  Б.А. Елкин             </w:t>
      </w:r>
    </w:p>
    <w:p w14:paraId="7479D664" w14:textId="77777777" w:rsidR="008C2F8C" w:rsidRPr="00091503" w:rsidRDefault="008C2F8C" w:rsidP="008C2F8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2C360" w14:textId="77777777" w:rsidR="008C2F8C" w:rsidRDefault="008C2F8C" w:rsidP="008C2F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D66A0" w14:textId="6F853741" w:rsidR="00E87CFF" w:rsidRDefault="00E87CFF"/>
    <w:p w14:paraId="64A5A987" w14:textId="4265960E" w:rsidR="008C2F8C" w:rsidRDefault="008C2F8C"/>
    <w:p w14:paraId="4E3A7425" w14:textId="3386A036" w:rsidR="008C2F8C" w:rsidRDefault="008C2F8C"/>
    <w:p w14:paraId="4EBCF941" w14:textId="42B310F3" w:rsidR="008C2F8C" w:rsidRDefault="008C2F8C"/>
    <w:p w14:paraId="6A9E080D" w14:textId="4BA7C964" w:rsidR="008C2F8C" w:rsidRDefault="008C2F8C"/>
    <w:p w14:paraId="7EE5E607" w14:textId="54B69F8A" w:rsidR="008C2F8C" w:rsidRDefault="008C2F8C"/>
    <w:p w14:paraId="7D135ADA" w14:textId="6A9168B6" w:rsidR="008C2F8C" w:rsidRDefault="008C2F8C"/>
    <w:p w14:paraId="676AF059" w14:textId="0C936532" w:rsidR="008C2F8C" w:rsidRDefault="008C2F8C"/>
    <w:p w14:paraId="0D9DE0FF" w14:textId="7CCD4217" w:rsidR="008C2F8C" w:rsidRDefault="008C2F8C"/>
    <w:p w14:paraId="696D7A0B" w14:textId="27EFE46B" w:rsidR="008C2F8C" w:rsidRDefault="008C2F8C"/>
    <w:p w14:paraId="391AB058" w14:textId="4FEBE0C8" w:rsidR="008C2F8C" w:rsidRDefault="008C2F8C"/>
    <w:p w14:paraId="271B3711" w14:textId="5A1C5BEB" w:rsidR="008C2F8C" w:rsidRDefault="008C2F8C"/>
    <w:p w14:paraId="0CFF30EC" w14:textId="35048C73" w:rsidR="008C2F8C" w:rsidRDefault="008C2F8C"/>
    <w:p w14:paraId="0A8CF2E5" w14:textId="5C4EE9DF" w:rsidR="008C2F8C" w:rsidRDefault="008C2F8C"/>
    <w:p w14:paraId="5A6EF012" w14:textId="6CFCB721" w:rsidR="008C2F8C" w:rsidRDefault="008C2F8C"/>
    <w:p w14:paraId="360A6FF7" w14:textId="15A735F2" w:rsidR="008C2F8C" w:rsidRDefault="00A768A6"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35DC34D" w14:textId="4F1A3D0F" w:rsidR="008C2F8C" w:rsidRDefault="008C2F8C"/>
    <w:p w14:paraId="3CA54B5B" w14:textId="2C48B2E8" w:rsidR="008C2F8C" w:rsidRDefault="008C2F8C"/>
    <w:p w14:paraId="3A8DC4A1" w14:textId="77777777" w:rsidR="00DB514B" w:rsidRDefault="00DB514B" w:rsidP="00E04E37">
      <w:pPr>
        <w:spacing w:after="0" w:line="240" w:lineRule="auto"/>
      </w:pPr>
    </w:p>
    <w:p w14:paraId="13B6AA3B" w14:textId="51D4AF0F" w:rsidR="00AD0B84" w:rsidRDefault="00E04E37" w:rsidP="00E04E37">
      <w:pPr>
        <w:spacing w:after="0" w:line="240" w:lineRule="auto"/>
        <w:rPr>
          <w:sz w:val="28"/>
          <w:szCs w:val="28"/>
        </w:rPr>
      </w:pPr>
      <w:r w:rsidRPr="00AD0B84">
        <w:rPr>
          <w:sz w:val="28"/>
          <w:szCs w:val="28"/>
        </w:rPr>
        <w:t xml:space="preserve">      </w:t>
      </w:r>
      <w:r w:rsidR="00AD0B84" w:rsidRPr="00AD0B84">
        <w:rPr>
          <w:sz w:val="28"/>
          <w:szCs w:val="28"/>
        </w:rPr>
        <w:t xml:space="preserve">                </w:t>
      </w:r>
      <w:r w:rsidR="00AD0B84">
        <w:rPr>
          <w:sz w:val="28"/>
          <w:szCs w:val="28"/>
        </w:rPr>
        <w:t xml:space="preserve">                               </w:t>
      </w:r>
    </w:p>
    <w:p w14:paraId="674CAF82" w14:textId="03F5FEFF" w:rsidR="00114BFC" w:rsidRDefault="00114BFC" w:rsidP="00E04E37">
      <w:pPr>
        <w:spacing w:after="0" w:line="240" w:lineRule="auto"/>
        <w:rPr>
          <w:sz w:val="28"/>
          <w:szCs w:val="28"/>
        </w:rPr>
      </w:pPr>
    </w:p>
    <w:p w14:paraId="0F443E47" w14:textId="77777777" w:rsidR="00114BFC" w:rsidRDefault="00114BFC" w:rsidP="00E04E37">
      <w:pPr>
        <w:spacing w:after="0" w:line="240" w:lineRule="auto"/>
        <w:rPr>
          <w:sz w:val="28"/>
          <w:szCs w:val="28"/>
        </w:rPr>
      </w:pPr>
    </w:p>
    <w:p w14:paraId="7A44AED0" w14:textId="0728B15E" w:rsidR="00E04E37" w:rsidRPr="00AD0B84" w:rsidRDefault="00AD0B84" w:rsidP="00E0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E04E37" w:rsidRPr="00AD0B84">
        <w:rPr>
          <w:rFonts w:ascii="Times New Roman" w:hAnsi="Times New Roman" w:cs="Times New Roman"/>
          <w:sz w:val="28"/>
          <w:szCs w:val="28"/>
        </w:rPr>
        <w:t>Приложение</w:t>
      </w:r>
    </w:p>
    <w:p w14:paraId="1AB39A53" w14:textId="77777777" w:rsidR="00CE5E9E" w:rsidRDefault="00E04E37" w:rsidP="00E0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</w:t>
      </w:r>
      <w:r w:rsidR="00CE5E9E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39BB7935" w14:textId="74299002" w:rsidR="00E04E37" w:rsidRPr="00AD0B84" w:rsidRDefault="00CE5E9E" w:rsidP="00E0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Пскова</w:t>
      </w:r>
      <w:r w:rsidR="00E04E37" w:rsidRPr="00AD0B8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DD9C72B" w14:textId="1A58E5AA" w:rsidR="008C2F8C" w:rsidRDefault="00E04E37" w:rsidP="00CE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E5E9E">
        <w:rPr>
          <w:rFonts w:ascii="Times New Roman" w:hAnsi="Times New Roman" w:cs="Times New Roman"/>
          <w:sz w:val="28"/>
          <w:szCs w:val="28"/>
        </w:rPr>
        <w:t>от «____» ________________202</w:t>
      </w:r>
      <w:r w:rsidR="00114BFC">
        <w:rPr>
          <w:rFonts w:ascii="Times New Roman" w:hAnsi="Times New Roman" w:cs="Times New Roman"/>
          <w:sz w:val="28"/>
          <w:szCs w:val="28"/>
        </w:rPr>
        <w:t>4</w:t>
      </w:r>
      <w:r w:rsidR="00CE5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48F50" w14:textId="77777777" w:rsidR="00CE5E9E" w:rsidRPr="00E04E37" w:rsidRDefault="00CE5E9E" w:rsidP="00CE5E9E">
      <w:pPr>
        <w:spacing w:after="0" w:line="240" w:lineRule="auto"/>
        <w:rPr>
          <w:rFonts w:ascii="Times New Roman" w:hAnsi="Times New Roman" w:cs="Times New Roman"/>
        </w:rPr>
      </w:pPr>
    </w:p>
    <w:p w14:paraId="79F53A8B" w14:textId="1E392AFC" w:rsidR="008C2F8C" w:rsidRDefault="00E04E37" w:rsidP="00E04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E37">
        <w:rPr>
          <w:rFonts w:ascii="Times New Roman" w:hAnsi="Times New Roman" w:cs="Times New Roman"/>
          <w:b/>
          <w:bCs/>
          <w:sz w:val="28"/>
          <w:szCs w:val="28"/>
        </w:rPr>
        <w:t>Расчет размера платы за размещение нестационарных торговых объектов и объектов оказания услуг на территории города Пскова</w:t>
      </w:r>
    </w:p>
    <w:p w14:paraId="1232D80C" w14:textId="4396F750" w:rsidR="00E04E37" w:rsidRDefault="00E04E37" w:rsidP="00E04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C5236" w14:textId="5B1F5177" w:rsidR="00E04E37" w:rsidRPr="00E04E37" w:rsidRDefault="005D466E" w:rsidP="005D4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4E37">
        <w:rPr>
          <w:rFonts w:ascii="Times New Roman" w:hAnsi="Times New Roman" w:cs="Times New Roman"/>
          <w:sz w:val="28"/>
          <w:szCs w:val="28"/>
        </w:rPr>
        <w:t xml:space="preserve">Расчет платы за размещение </w:t>
      </w:r>
      <w:r w:rsidR="00E04E37" w:rsidRPr="00E04E37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сезонного характера на территории города Пскова устанавливается </w:t>
      </w:r>
      <w:r w:rsidR="006377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04E37" w:rsidRPr="00E04E37">
        <w:rPr>
          <w:rFonts w:ascii="Times New Roman" w:hAnsi="Times New Roman" w:cs="Times New Roman"/>
          <w:sz w:val="28"/>
          <w:szCs w:val="28"/>
        </w:rPr>
        <w:t>в процентах от среднего показателя кадастровой стоимости земли под объектами торговли в зависимости от местоположения (</w:t>
      </w:r>
      <w:proofErr w:type="gramStart"/>
      <w:r w:rsidR="00E04E37" w:rsidRPr="00E04E37">
        <w:rPr>
          <w:rFonts w:ascii="Times New Roman" w:hAnsi="Times New Roman" w:cs="Times New Roman"/>
          <w:sz w:val="28"/>
          <w:szCs w:val="28"/>
        </w:rPr>
        <w:t xml:space="preserve">схемы) </w:t>
      </w:r>
      <w:r w:rsidR="006377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377C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4E37" w:rsidRPr="00E04E37">
        <w:rPr>
          <w:rFonts w:ascii="Times New Roman" w:hAnsi="Times New Roman" w:cs="Times New Roman"/>
          <w:sz w:val="28"/>
          <w:szCs w:val="28"/>
        </w:rPr>
        <w:t>и рассчитывается по формуле:</w:t>
      </w:r>
    </w:p>
    <w:p w14:paraId="4D0A9923" w14:textId="77777777" w:rsidR="00E04E37" w:rsidRPr="00E04E37" w:rsidRDefault="00E04E37" w:rsidP="00E04E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A1C469" w14:textId="54D97620" w:rsidR="00E04E37" w:rsidRPr="00E04E37" w:rsidRDefault="00E04E37" w:rsidP="005D4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37">
        <w:rPr>
          <w:rFonts w:ascii="Times New Roman" w:hAnsi="Times New Roman" w:cs="Times New Roman"/>
          <w:noProof/>
          <w:position w:val="-20"/>
          <w:sz w:val="28"/>
          <w:szCs w:val="28"/>
        </w:rPr>
        <w:t>Ц</w:t>
      </w:r>
      <w:r>
        <w:rPr>
          <w:rFonts w:ascii="Times New Roman" w:hAnsi="Times New Roman" w:cs="Times New Roman"/>
          <w:noProof/>
          <w:position w:val="-20"/>
          <w:sz w:val="28"/>
          <w:szCs w:val="28"/>
        </w:rPr>
        <w:t>=</w:t>
      </w:r>
      <w:r w:rsidR="0099565C">
        <w:rPr>
          <w:rFonts w:ascii="Times New Roman" w:hAnsi="Times New Roman" w:cs="Times New Roman"/>
          <w:noProof/>
          <w:position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position w:val="-20"/>
          <w:sz w:val="28"/>
          <w:szCs w:val="28"/>
        </w:rPr>
        <w:t>(Сх</w:t>
      </w:r>
      <w:r w:rsidR="00C4343B">
        <w:rPr>
          <w:rFonts w:ascii="Times New Roman" w:hAnsi="Times New Roman" w:cs="Times New Roman"/>
          <w:noProof/>
          <w:position w:val="-2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noProof/>
          <w:position w:val="-20"/>
          <w:sz w:val="28"/>
          <w:szCs w:val="28"/>
        </w:rPr>
        <w:t>хКс</w:t>
      </w:r>
      <w:r w:rsidR="00C4343B">
        <w:rPr>
          <w:rFonts w:ascii="Times New Roman" w:hAnsi="Times New Roman" w:cs="Times New Roman"/>
          <w:noProof/>
          <w:position w:val="-20"/>
          <w:sz w:val="28"/>
          <w:szCs w:val="28"/>
        </w:rPr>
        <w:t xml:space="preserve"> (Кт)хКм)12</w:t>
      </w:r>
    </w:p>
    <w:p w14:paraId="1AF8AAD1" w14:textId="77777777" w:rsidR="00E04E37" w:rsidRPr="00E04E37" w:rsidRDefault="00E04E37" w:rsidP="00E04E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DD005" w14:textId="2AFD5615" w:rsidR="00E04E37" w:rsidRPr="00E04E37" w:rsidRDefault="0099565C" w:rsidP="005D4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04E37" w:rsidRPr="00E0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4E37" w:rsidRPr="00E0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цена за размещение нестационарного торгового объекта </w:t>
      </w:r>
      <w:r w:rsidR="00E04E37" w:rsidRPr="00E04E37">
        <w:rPr>
          <w:rFonts w:ascii="Times New Roman" w:hAnsi="Times New Roman" w:cs="Times New Roman"/>
          <w:sz w:val="28"/>
          <w:szCs w:val="28"/>
        </w:rPr>
        <w:t>(руб.);</w:t>
      </w:r>
    </w:p>
    <w:p w14:paraId="1CE21D38" w14:textId="06B643CC" w:rsidR="00E04E37" w:rsidRPr="0099565C" w:rsidRDefault="0099565C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5C">
        <w:rPr>
          <w:rFonts w:ascii="Times New Roman" w:hAnsi="Times New Roman" w:cs="Times New Roman"/>
          <w:sz w:val="28"/>
          <w:szCs w:val="28"/>
        </w:rPr>
        <w:t>С</w:t>
      </w:r>
      <w:r w:rsidR="00E04E37" w:rsidRPr="0099565C">
        <w:rPr>
          <w:rFonts w:ascii="Times New Roman" w:hAnsi="Times New Roman" w:cs="Times New Roman"/>
          <w:sz w:val="28"/>
          <w:szCs w:val="28"/>
        </w:rPr>
        <w:t xml:space="preserve"> - средний показатель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E37" w:rsidRPr="0099565C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ель населенных пунктов по муниципальному округу</w:t>
      </w:r>
      <w:r w:rsidR="00E04E37" w:rsidRPr="0099565C">
        <w:rPr>
          <w:rFonts w:ascii="Times New Roman" w:hAnsi="Times New Roman" w:cs="Times New Roman"/>
          <w:sz w:val="28"/>
          <w:szCs w:val="28"/>
        </w:rPr>
        <w:t>;</w:t>
      </w:r>
    </w:p>
    <w:p w14:paraId="56D79FEE" w14:textId="53B5E5F8" w:rsidR="00E04E37" w:rsidRPr="0099565C" w:rsidRDefault="0099565C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E37" w:rsidRPr="0099565C">
        <w:rPr>
          <w:rFonts w:ascii="Times New Roman" w:hAnsi="Times New Roman" w:cs="Times New Roman"/>
          <w:sz w:val="28"/>
          <w:szCs w:val="28"/>
        </w:rPr>
        <w:t xml:space="preserve">S - площадь, занимаемая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нестационарным торговым объектом </w:t>
      </w:r>
      <w:r w:rsidR="00E04E37" w:rsidRPr="0099565C">
        <w:rPr>
          <w:rFonts w:ascii="Times New Roman" w:hAnsi="Times New Roman" w:cs="Times New Roman"/>
          <w:sz w:val="28"/>
          <w:szCs w:val="28"/>
        </w:rPr>
        <w:t>(кв. м);</w:t>
      </w:r>
    </w:p>
    <w:p w14:paraId="291F4A39" w14:textId="7CC493AB" w:rsidR="00E04E37" w:rsidRDefault="00E04E37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5C">
        <w:rPr>
          <w:rFonts w:ascii="Times New Roman" w:hAnsi="Times New Roman" w:cs="Times New Roman"/>
          <w:sz w:val="28"/>
          <w:szCs w:val="28"/>
        </w:rPr>
        <w:t>К</w:t>
      </w:r>
      <w:r w:rsidR="0099565C">
        <w:rPr>
          <w:rFonts w:ascii="Times New Roman" w:hAnsi="Times New Roman" w:cs="Times New Roman"/>
          <w:sz w:val="28"/>
          <w:szCs w:val="28"/>
        </w:rPr>
        <w:t>с (</w:t>
      </w:r>
      <w:proofErr w:type="spellStart"/>
      <w:r w:rsidR="0099565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99565C">
        <w:rPr>
          <w:rFonts w:ascii="Times New Roman" w:hAnsi="Times New Roman" w:cs="Times New Roman"/>
          <w:sz w:val="28"/>
          <w:szCs w:val="28"/>
        </w:rPr>
        <w:t>) –</w:t>
      </w:r>
      <w:r w:rsidRPr="0099565C">
        <w:rPr>
          <w:rFonts w:ascii="Times New Roman" w:hAnsi="Times New Roman" w:cs="Times New Roman"/>
          <w:sz w:val="28"/>
          <w:szCs w:val="28"/>
        </w:rPr>
        <w:t xml:space="preserve"> </w:t>
      </w:r>
      <w:r w:rsidR="0099565C">
        <w:rPr>
          <w:rFonts w:ascii="Times New Roman" w:hAnsi="Times New Roman" w:cs="Times New Roman"/>
          <w:sz w:val="28"/>
          <w:szCs w:val="28"/>
        </w:rPr>
        <w:t xml:space="preserve">коэффициент, учитывающий специализацию, тип </w:t>
      </w:r>
      <w:proofErr w:type="gramStart"/>
      <w:r w:rsidR="0099565C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Pr="0099565C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9565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99565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9565C">
        <w:rPr>
          <w:rFonts w:ascii="Times New Roman" w:hAnsi="Times New Roman" w:cs="Times New Roman"/>
          <w:sz w:val="28"/>
          <w:szCs w:val="28"/>
        </w:rPr>
        <w:t>а;</w:t>
      </w:r>
    </w:p>
    <w:p w14:paraId="1EE08231" w14:textId="2671F4AF" w:rsidR="0099565C" w:rsidRPr="0099565C" w:rsidRDefault="0099565C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 - коэффициент, учитывающий территориальное расположение нестационарного торгового объекта.</w:t>
      </w:r>
    </w:p>
    <w:p w14:paraId="306F419A" w14:textId="31DADBD0" w:rsidR="00E04E37" w:rsidRDefault="0099565C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1A">
        <w:rPr>
          <w:rFonts w:ascii="Times New Roman" w:hAnsi="Times New Roman" w:cs="Times New Roman"/>
          <w:sz w:val="28"/>
          <w:szCs w:val="28"/>
        </w:rPr>
        <w:t>Величина корректирующего коэффициента, учитывающих тип нестационарного торгового объекта</w:t>
      </w:r>
      <w:r w:rsidR="00E7313C" w:rsidRPr="00E7313C">
        <w:rPr>
          <w:rFonts w:ascii="Times New Roman" w:hAnsi="Times New Roman" w:cs="Times New Roman"/>
          <w:sz w:val="28"/>
          <w:szCs w:val="28"/>
        </w:rPr>
        <w:t xml:space="preserve"> </w:t>
      </w:r>
      <w:r w:rsidR="00E731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313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E7313C">
        <w:rPr>
          <w:rFonts w:ascii="Times New Roman" w:hAnsi="Times New Roman" w:cs="Times New Roman"/>
          <w:sz w:val="28"/>
          <w:szCs w:val="28"/>
        </w:rPr>
        <w:t>)</w:t>
      </w:r>
    </w:p>
    <w:p w14:paraId="342F75AF" w14:textId="77777777" w:rsidR="00CE5E9E" w:rsidRPr="00E7313C" w:rsidRDefault="00CE5E9E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8"/>
        <w:gridCol w:w="2120"/>
      </w:tblGrid>
      <w:tr w:rsidR="00F9231A" w:rsidRPr="00F9231A" w14:paraId="69D22351" w14:textId="77777777" w:rsidTr="00F9231A">
        <w:tc>
          <w:tcPr>
            <w:tcW w:w="846" w:type="dxa"/>
          </w:tcPr>
          <w:p w14:paraId="05CB61E5" w14:textId="5ECFF7E2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379" w:type="dxa"/>
          </w:tcPr>
          <w:p w14:paraId="66773693" w14:textId="07413A72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120" w:type="dxa"/>
          </w:tcPr>
          <w:p w14:paraId="0675A1F0" w14:textId="696FC86B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63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F9231A" w:rsidRPr="00F9231A" w14:paraId="4CAB4B16" w14:textId="77777777" w:rsidTr="00F9231A">
        <w:tc>
          <w:tcPr>
            <w:tcW w:w="846" w:type="dxa"/>
          </w:tcPr>
          <w:p w14:paraId="3DA1BDEE" w14:textId="791E2AD5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10035B2" w14:textId="14C84BBB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0" w:type="dxa"/>
          </w:tcPr>
          <w:p w14:paraId="0018A62A" w14:textId="30410F8C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9231A" w:rsidRPr="00F9231A" w14:paraId="6A62FAB6" w14:textId="77777777" w:rsidTr="00F9231A">
        <w:tc>
          <w:tcPr>
            <w:tcW w:w="846" w:type="dxa"/>
          </w:tcPr>
          <w:p w14:paraId="626C6850" w14:textId="15488FC6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73EAA62B" w14:textId="40CE526C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0" w:type="dxa"/>
          </w:tcPr>
          <w:p w14:paraId="0BF5A90C" w14:textId="3FDC892D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231A" w:rsidRPr="00F9231A" w14:paraId="6A5BC306" w14:textId="77777777" w:rsidTr="00F9231A">
        <w:tc>
          <w:tcPr>
            <w:tcW w:w="846" w:type="dxa"/>
          </w:tcPr>
          <w:p w14:paraId="723911A6" w14:textId="06E3828B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1266FEF9" w14:textId="5CCECC9E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галерея</w:t>
            </w:r>
          </w:p>
        </w:tc>
        <w:tc>
          <w:tcPr>
            <w:tcW w:w="2120" w:type="dxa"/>
          </w:tcPr>
          <w:p w14:paraId="14505F11" w14:textId="5B7CB2C6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9231A" w:rsidRPr="00F9231A" w14:paraId="52139EE2" w14:textId="77777777" w:rsidTr="00F9231A">
        <w:tc>
          <w:tcPr>
            <w:tcW w:w="846" w:type="dxa"/>
          </w:tcPr>
          <w:p w14:paraId="5D55B1B1" w14:textId="7B5ECDBA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3B8EBE73" w14:textId="195B3623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2120" w:type="dxa"/>
          </w:tcPr>
          <w:p w14:paraId="6E2D11E0" w14:textId="5EE05344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231A" w:rsidRPr="00F9231A" w14:paraId="1CDC9471" w14:textId="77777777" w:rsidTr="00F9231A">
        <w:tc>
          <w:tcPr>
            <w:tcW w:w="846" w:type="dxa"/>
          </w:tcPr>
          <w:p w14:paraId="55C31C24" w14:textId="67DFE218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14:paraId="391B7B54" w14:textId="7ED22D13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2120" w:type="dxa"/>
          </w:tcPr>
          <w:p w14:paraId="6E570EB8" w14:textId="49BC045B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231A" w:rsidRPr="00F9231A" w14:paraId="2136CB06" w14:textId="77777777" w:rsidTr="00F9231A">
        <w:tc>
          <w:tcPr>
            <w:tcW w:w="846" w:type="dxa"/>
          </w:tcPr>
          <w:p w14:paraId="55378698" w14:textId="133968AD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14:paraId="4E33635D" w14:textId="06E532BD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с выставкой образцов для ритуальных услуг</w:t>
            </w:r>
          </w:p>
        </w:tc>
        <w:tc>
          <w:tcPr>
            <w:tcW w:w="2120" w:type="dxa"/>
          </w:tcPr>
          <w:p w14:paraId="2477C113" w14:textId="3F22CED5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9231A" w:rsidRPr="00F9231A" w14:paraId="50D45AA4" w14:textId="77777777" w:rsidTr="00F9231A">
        <w:tc>
          <w:tcPr>
            <w:tcW w:w="846" w:type="dxa"/>
          </w:tcPr>
          <w:p w14:paraId="4E1765D8" w14:textId="015847AE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14:paraId="72AADFF0" w14:textId="540D3285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летняя терраса</w:t>
            </w:r>
          </w:p>
        </w:tc>
        <w:tc>
          <w:tcPr>
            <w:tcW w:w="2120" w:type="dxa"/>
          </w:tcPr>
          <w:p w14:paraId="205DFD8A" w14:textId="0539283C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9231A" w:rsidRPr="00F9231A" w14:paraId="53A0E4F8" w14:textId="77777777" w:rsidTr="00F9231A">
        <w:tc>
          <w:tcPr>
            <w:tcW w:w="846" w:type="dxa"/>
          </w:tcPr>
          <w:p w14:paraId="7DA638AA" w14:textId="4F33DDC4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6CD8D1F5" w14:textId="6D42CB0A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Выносное холодильное оборудование</w:t>
            </w:r>
          </w:p>
        </w:tc>
        <w:tc>
          <w:tcPr>
            <w:tcW w:w="2120" w:type="dxa"/>
          </w:tcPr>
          <w:p w14:paraId="54FB9C1D" w14:textId="641CF716" w:rsidR="00F9231A" w:rsidRPr="00F9231A" w:rsidRDefault="00F9231A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231A" w:rsidRPr="00F9231A" w14:paraId="636C838B" w14:textId="77777777" w:rsidTr="00F9231A">
        <w:tc>
          <w:tcPr>
            <w:tcW w:w="846" w:type="dxa"/>
          </w:tcPr>
          <w:p w14:paraId="5E7CCF2A" w14:textId="5D1C6296" w:rsidR="00F9231A" w:rsidRPr="00F9231A" w:rsidRDefault="00E77C6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75246CA0" w14:textId="42FEC709" w:rsidR="00F9231A" w:rsidRPr="00F9231A" w:rsidRDefault="00E77C6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806EA5">
              <w:rPr>
                <w:rFonts w:ascii="Times New Roman" w:hAnsi="Times New Roman" w:cs="Times New Roman"/>
                <w:sz w:val="24"/>
                <w:szCs w:val="24"/>
              </w:rPr>
              <w:t>быстрого питания</w:t>
            </w:r>
          </w:p>
        </w:tc>
        <w:tc>
          <w:tcPr>
            <w:tcW w:w="2120" w:type="dxa"/>
          </w:tcPr>
          <w:p w14:paraId="11682552" w14:textId="4CC28D35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231A" w:rsidRPr="00F9231A" w14:paraId="11269D03" w14:textId="77777777" w:rsidTr="00F9231A">
        <w:tc>
          <w:tcPr>
            <w:tcW w:w="846" w:type="dxa"/>
          </w:tcPr>
          <w:p w14:paraId="54FF53A5" w14:textId="775E4879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79" w:type="dxa"/>
          </w:tcPr>
          <w:p w14:paraId="6238CD36" w14:textId="052FC420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пункт быстрого питания</w:t>
            </w:r>
          </w:p>
        </w:tc>
        <w:tc>
          <w:tcPr>
            <w:tcW w:w="2120" w:type="dxa"/>
          </w:tcPr>
          <w:p w14:paraId="38257C84" w14:textId="6812678B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231A" w:rsidRPr="00F9231A" w14:paraId="0AF86BC7" w14:textId="77777777" w:rsidTr="00F9231A">
        <w:tc>
          <w:tcPr>
            <w:tcW w:w="846" w:type="dxa"/>
          </w:tcPr>
          <w:p w14:paraId="11623364" w14:textId="3B92389D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14:paraId="7F5A38C0" w14:textId="50C32503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63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(вендинговый автомат)</w:t>
            </w:r>
          </w:p>
        </w:tc>
        <w:tc>
          <w:tcPr>
            <w:tcW w:w="2120" w:type="dxa"/>
          </w:tcPr>
          <w:p w14:paraId="43400B25" w14:textId="299F4E25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231A" w:rsidRPr="00F9231A" w14:paraId="094E2641" w14:textId="77777777" w:rsidTr="00F9231A">
        <w:tc>
          <w:tcPr>
            <w:tcW w:w="846" w:type="dxa"/>
          </w:tcPr>
          <w:p w14:paraId="774B62E4" w14:textId="403301A5" w:rsidR="00F9231A" w:rsidRPr="00F9231A" w:rsidRDefault="00806EA5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14:paraId="221DCE79" w14:textId="494FFC3C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</w:t>
            </w:r>
          </w:p>
        </w:tc>
        <w:tc>
          <w:tcPr>
            <w:tcW w:w="2120" w:type="dxa"/>
          </w:tcPr>
          <w:p w14:paraId="6C86C55B" w14:textId="63443EC4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231A" w:rsidRPr="00F9231A" w14:paraId="4A969C65" w14:textId="77777777" w:rsidTr="00F9231A">
        <w:tc>
          <w:tcPr>
            <w:tcW w:w="846" w:type="dxa"/>
          </w:tcPr>
          <w:p w14:paraId="161E3833" w14:textId="5CE3B965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14:paraId="205EB2ED" w14:textId="4182DCCA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2120" w:type="dxa"/>
          </w:tcPr>
          <w:p w14:paraId="6C0302FD" w14:textId="26C1B9BB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231A" w:rsidRPr="00F9231A" w14:paraId="40C14E5E" w14:textId="77777777" w:rsidTr="00F9231A">
        <w:tc>
          <w:tcPr>
            <w:tcW w:w="846" w:type="dxa"/>
          </w:tcPr>
          <w:p w14:paraId="0EFAAB88" w14:textId="5E2EC5D2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14:paraId="419335E8" w14:textId="13EB7148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нестационарный торговый объект для организации реализации продукции товаропроизводителей</w:t>
            </w:r>
          </w:p>
        </w:tc>
        <w:tc>
          <w:tcPr>
            <w:tcW w:w="2120" w:type="dxa"/>
          </w:tcPr>
          <w:p w14:paraId="4787D348" w14:textId="427933FA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231A" w:rsidRPr="00F9231A" w14:paraId="34F4FD7D" w14:textId="77777777" w:rsidTr="00F9231A">
        <w:tc>
          <w:tcPr>
            <w:tcW w:w="846" w:type="dxa"/>
          </w:tcPr>
          <w:p w14:paraId="52E8447D" w14:textId="63284007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14:paraId="33984F2B" w14:textId="16E33F03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120" w:type="dxa"/>
          </w:tcPr>
          <w:p w14:paraId="752203B4" w14:textId="52BF34C2" w:rsidR="00F9231A" w:rsidRPr="00F9231A" w:rsidRDefault="00332BD3" w:rsidP="00F9231A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7348311" w14:textId="4BE181EB" w:rsidR="00E04E37" w:rsidRPr="005D466E" w:rsidRDefault="00E04E37" w:rsidP="005D466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6E">
        <w:rPr>
          <w:rFonts w:ascii="Times New Roman" w:hAnsi="Times New Roman" w:cs="Times New Roman"/>
          <w:sz w:val="28"/>
          <w:szCs w:val="28"/>
        </w:rPr>
        <w:t>В зависимости от местоположения размещения нестационарн</w:t>
      </w:r>
      <w:r w:rsidR="005D466E" w:rsidRPr="005D466E">
        <w:rPr>
          <w:rFonts w:ascii="Times New Roman" w:hAnsi="Times New Roman" w:cs="Times New Roman"/>
          <w:sz w:val="28"/>
          <w:szCs w:val="28"/>
        </w:rPr>
        <w:t>ого</w:t>
      </w:r>
      <w:r w:rsidRPr="005D466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D466E" w:rsidRPr="005D466E">
        <w:rPr>
          <w:rFonts w:ascii="Times New Roman" w:hAnsi="Times New Roman" w:cs="Times New Roman"/>
          <w:sz w:val="28"/>
          <w:szCs w:val="28"/>
        </w:rPr>
        <w:t>ого</w:t>
      </w:r>
      <w:r w:rsidRPr="005D466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D466E" w:rsidRPr="005D466E">
        <w:rPr>
          <w:rFonts w:ascii="Times New Roman" w:hAnsi="Times New Roman" w:cs="Times New Roman"/>
          <w:sz w:val="28"/>
          <w:szCs w:val="28"/>
        </w:rPr>
        <w:t>а</w:t>
      </w:r>
      <w:r w:rsidRPr="005D466E">
        <w:rPr>
          <w:rFonts w:ascii="Times New Roman" w:hAnsi="Times New Roman" w:cs="Times New Roman"/>
          <w:sz w:val="28"/>
          <w:szCs w:val="28"/>
        </w:rPr>
        <w:t xml:space="preserve"> </w:t>
      </w:r>
      <w:r w:rsidR="005D466E">
        <w:rPr>
          <w:rFonts w:ascii="Times New Roman" w:hAnsi="Times New Roman" w:cs="Times New Roman"/>
          <w:sz w:val="28"/>
          <w:szCs w:val="28"/>
        </w:rPr>
        <w:t>коэффициент</w:t>
      </w:r>
      <w:r w:rsidRPr="005D466E">
        <w:rPr>
          <w:rFonts w:ascii="Times New Roman" w:hAnsi="Times New Roman" w:cs="Times New Roman"/>
          <w:sz w:val="28"/>
          <w:szCs w:val="28"/>
        </w:rPr>
        <w:t xml:space="preserve"> </w:t>
      </w:r>
      <w:r w:rsidR="00E7313C">
        <w:rPr>
          <w:rFonts w:ascii="Times New Roman" w:hAnsi="Times New Roman" w:cs="Times New Roman"/>
          <w:sz w:val="28"/>
          <w:szCs w:val="28"/>
        </w:rPr>
        <w:t>(Км)</w:t>
      </w:r>
      <w:r w:rsidR="00E7313C" w:rsidRPr="00E7313C">
        <w:rPr>
          <w:rFonts w:ascii="Times New Roman" w:hAnsi="Times New Roman" w:cs="Times New Roman"/>
          <w:sz w:val="28"/>
          <w:szCs w:val="28"/>
        </w:rPr>
        <w:t xml:space="preserve"> </w:t>
      </w:r>
      <w:r w:rsidRPr="005D466E">
        <w:rPr>
          <w:rFonts w:ascii="Times New Roman" w:hAnsi="Times New Roman" w:cs="Times New Roman"/>
          <w:sz w:val="28"/>
          <w:szCs w:val="28"/>
        </w:rPr>
        <w:t>составляет:</w:t>
      </w:r>
    </w:p>
    <w:p w14:paraId="74950002" w14:textId="77777777" w:rsidR="00E04E37" w:rsidRPr="006377C6" w:rsidRDefault="00E04E37" w:rsidP="00E04E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E04E37" w:rsidRPr="005D466E" w14:paraId="40FF9488" w14:textId="77777777" w:rsidTr="00992716">
        <w:tc>
          <w:tcPr>
            <w:tcW w:w="7597" w:type="dxa"/>
          </w:tcPr>
          <w:p w14:paraId="132E4EF4" w14:textId="77777777" w:rsidR="00E04E37" w:rsidRPr="005D466E" w:rsidRDefault="00E04E37" w:rsidP="0099271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Местоположение объекта</w:t>
            </w:r>
          </w:p>
        </w:tc>
        <w:tc>
          <w:tcPr>
            <w:tcW w:w="1474" w:type="dxa"/>
          </w:tcPr>
          <w:p w14:paraId="7297B4CA" w14:textId="23736B8B" w:rsidR="00E04E37" w:rsidRPr="005D466E" w:rsidRDefault="005D466E" w:rsidP="005D46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</w:tr>
      <w:tr w:rsidR="00E04E37" w:rsidRPr="006377C6" w14:paraId="64138655" w14:textId="77777777" w:rsidTr="00992716">
        <w:tc>
          <w:tcPr>
            <w:tcW w:w="7597" w:type="dxa"/>
          </w:tcPr>
          <w:p w14:paraId="27F1F5A8" w14:textId="7FA42FC6" w:rsidR="00E04E37" w:rsidRPr="005D466E" w:rsidRDefault="00E04E37" w:rsidP="00992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Октябрьский пр., пр. Энтузиастов, площадь Ленина, пл. Победы, Рижский пр., ул. Вокзальная, ул. Я.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 xml:space="preserve">Фабрициуса, ул. Коммунальная, 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ул. Рокоссовского, ул. Юбилейная, ул. Советская, 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 xml:space="preserve">ул. Гражданская, ул. Воровского, ул. Красноармейская, ул. Народная, 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ул. Индустриальная, ул. Текстильная, ул. К.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Маркса, ул. М.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ул. Генерала Маргелова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14:paraId="0869F61E" w14:textId="13410169" w:rsidR="00E04E37" w:rsidRPr="005D466E" w:rsidRDefault="005D466E" w:rsidP="00992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4E37" w:rsidRPr="006377C6" w14:paraId="5888124E" w14:textId="77777777" w:rsidTr="00992716">
        <w:tc>
          <w:tcPr>
            <w:tcW w:w="7597" w:type="dxa"/>
          </w:tcPr>
          <w:p w14:paraId="5C1555E0" w14:textId="67F39749" w:rsidR="00E04E37" w:rsidRPr="005D466E" w:rsidRDefault="00E04E37" w:rsidP="00992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ул. Алтаева, ул. Новоселов, ул. Труда, ул. Н.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66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 xml:space="preserve">ул. Лепешинского, ул. Петровская, ул. Металлистов, ул. Западная, 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ул. Л.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, ул. Ижорского бат., ул. Я.</w:t>
            </w:r>
            <w:r w:rsidR="005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Райниса, ул. Комдива Кирсанова</w:t>
            </w:r>
          </w:p>
        </w:tc>
        <w:tc>
          <w:tcPr>
            <w:tcW w:w="1474" w:type="dxa"/>
          </w:tcPr>
          <w:p w14:paraId="398C5AE7" w14:textId="4F23AF71" w:rsidR="00E04E37" w:rsidRPr="005D466E" w:rsidRDefault="005D466E" w:rsidP="00992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04E37" w:rsidRPr="006377C6" w14:paraId="6C0D8CEC" w14:textId="77777777" w:rsidTr="00992716">
        <w:tc>
          <w:tcPr>
            <w:tcW w:w="7597" w:type="dxa"/>
          </w:tcPr>
          <w:p w14:paraId="773311A0" w14:textId="77777777" w:rsidR="00E04E37" w:rsidRPr="005D466E" w:rsidRDefault="00E04E37" w:rsidP="0099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66E">
              <w:rPr>
                <w:rFonts w:ascii="Times New Roman" w:hAnsi="Times New Roman" w:cs="Times New Roman"/>
                <w:sz w:val="24"/>
                <w:szCs w:val="24"/>
              </w:rPr>
              <w:t>Прочие улицы и переулки</w:t>
            </w:r>
          </w:p>
        </w:tc>
        <w:tc>
          <w:tcPr>
            <w:tcW w:w="1474" w:type="dxa"/>
          </w:tcPr>
          <w:p w14:paraId="7D38186A" w14:textId="131FDBE8" w:rsidR="00E04E37" w:rsidRPr="005D466E" w:rsidRDefault="005D466E" w:rsidP="00992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2EC1159C" w14:textId="4AAAED37" w:rsidR="00E04E37" w:rsidRDefault="00E04E37" w:rsidP="005D466E">
      <w:pPr>
        <w:pStyle w:val="ConsPlusNormal"/>
        <w:jc w:val="both"/>
      </w:pPr>
    </w:p>
    <w:p w14:paraId="41B8A806" w14:textId="5B1B8E4B" w:rsidR="00E04E37" w:rsidRDefault="005D466E" w:rsidP="004C4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E37" w:rsidRPr="005D466E">
        <w:rPr>
          <w:rFonts w:ascii="Times New Roman" w:hAnsi="Times New Roman" w:cs="Times New Roman"/>
          <w:sz w:val="28"/>
          <w:szCs w:val="28"/>
        </w:rPr>
        <w:t xml:space="preserve">. Оплата за размещение нестационарных торговых объектов </w:t>
      </w:r>
      <w:r w:rsidRPr="005D466E">
        <w:rPr>
          <w:rFonts w:ascii="Times New Roman" w:hAnsi="Times New Roman" w:cs="Times New Roman"/>
          <w:sz w:val="28"/>
          <w:szCs w:val="28"/>
        </w:rPr>
        <w:t xml:space="preserve"> </w:t>
      </w:r>
      <w:r w:rsidR="00E04E37" w:rsidRPr="005D466E">
        <w:rPr>
          <w:rFonts w:ascii="Times New Roman" w:hAnsi="Times New Roman" w:cs="Times New Roman"/>
          <w:sz w:val="28"/>
          <w:szCs w:val="28"/>
        </w:rPr>
        <w:t xml:space="preserve"> осуществляется субъектами торговли путем перечисления денежных средств в бюджет города Пскова </w:t>
      </w:r>
      <w:r w:rsidRPr="005D466E">
        <w:rPr>
          <w:rFonts w:ascii="Times New Roman" w:hAnsi="Times New Roman" w:cs="Times New Roman"/>
          <w:sz w:val="28"/>
          <w:szCs w:val="28"/>
        </w:rPr>
        <w:t>в рублях и копейках.</w:t>
      </w:r>
    </w:p>
    <w:p w14:paraId="234F3549" w14:textId="77777777" w:rsidR="00114BFC" w:rsidRPr="00114BFC" w:rsidRDefault="00DB514B" w:rsidP="00114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Hlk158131478"/>
      <w:r>
        <w:rPr>
          <w:rFonts w:ascii="Times New Roman" w:hAnsi="Times New Roman" w:cs="Times New Roman"/>
          <w:sz w:val="28"/>
          <w:szCs w:val="28"/>
        </w:rPr>
        <w:t>Данный расчет вступает в силу со дня его официального опубликования</w:t>
      </w:r>
      <w:r w:rsidRPr="00DB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вновь устанавливаемых нестационарных торговых объектов на территории города Пскова,  для действующих договоров </w:t>
      </w:r>
      <w:r w:rsidR="004C44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  <w:r w:rsidR="00A7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марта 2025 года</w:t>
      </w:r>
      <w:r w:rsidR="00114BFC">
        <w:rPr>
          <w:rFonts w:ascii="Times New Roman" w:hAnsi="Times New Roman" w:cs="Times New Roman"/>
          <w:sz w:val="28"/>
          <w:szCs w:val="28"/>
        </w:rPr>
        <w:t xml:space="preserve"> </w:t>
      </w:r>
      <w:r w:rsidR="00114BFC" w:rsidRPr="00114BFC">
        <w:rPr>
          <w:rFonts w:ascii="Times New Roman" w:hAnsi="Times New Roman" w:cs="Times New Roman"/>
          <w:sz w:val="28"/>
          <w:szCs w:val="28"/>
        </w:rPr>
        <w:t>с учетом мер поддержки потенциальных</w:t>
      </w:r>
      <w:r w:rsidR="00114BFC" w:rsidRPr="00114BFC">
        <w:rPr>
          <w:rFonts w:ascii="Times New Roman" w:eastAsia="Calibri" w:hAnsi="Times New Roman" w:cs="Times New Roman"/>
          <w:sz w:val="28"/>
          <w:szCs w:val="28"/>
        </w:rPr>
        <w:t xml:space="preserve"> адресатов предполагаемого правового регулирования:</w:t>
      </w:r>
    </w:p>
    <w:p w14:paraId="30BBFB7A" w14:textId="77777777" w:rsidR="00114BFC" w:rsidRPr="00114BFC" w:rsidRDefault="00114BFC" w:rsidP="00114B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FC">
        <w:rPr>
          <w:rFonts w:ascii="Times New Roman" w:hAnsi="Times New Roman" w:cs="Times New Roman"/>
          <w:sz w:val="28"/>
          <w:szCs w:val="28"/>
        </w:rPr>
        <w:t>- с 01.03.2025 по 28.02.2026 года – установить скидку 50% от стоимости;</w:t>
      </w:r>
    </w:p>
    <w:p w14:paraId="36AB3583" w14:textId="77777777" w:rsidR="00114BFC" w:rsidRPr="00114BFC" w:rsidRDefault="00114BFC" w:rsidP="00114B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FC">
        <w:rPr>
          <w:rFonts w:ascii="Times New Roman" w:hAnsi="Times New Roman" w:cs="Times New Roman"/>
          <w:sz w:val="28"/>
          <w:szCs w:val="28"/>
        </w:rPr>
        <w:t>- с 01.03.2026 года по 28.02.2027 года – 25%;</w:t>
      </w:r>
    </w:p>
    <w:p w14:paraId="58A10D88" w14:textId="537ADA85" w:rsidR="00DB514B" w:rsidRPr="005D466E" w:rsidRDefault="00114BFC" w:rsidP="00114B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FC">
        <w:rPr>
          <w:rFonts w:ascii="Times New Roman" w:hAnsi="Times New Roman" w:cs="Times New Roman"/>
          <w:sz w:val="28"/>
          <w:szCs w:val="28"/>
        </w:rPr>
        <w:t xml:space="preserve">- с 01.03.27 года предполагается 100% оплата стоимости.  </w:t>
      </w:r>
    </w:p>
    <w:bookmarkEnd w:id="0"/>
    <w:p w14:paraId="6412D5A7" w14:textId="64BEA036" w:rsidR="00E04E37" w:rsidRPr="005D466E" w:rsidRDefault="00DB514B" w:rsidP="004C4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4E37" w:rsidRPr="005D466E">
        <w:rPr>
          <w:rFonts w:ascii="Times New Roman" w:hAnsi="Times New Roman" w:cs="Times New Roman"/>
          <w:sz w:val="28"/>
          <w:szCs w:val="28"/>
        </w:rPr>
        <w:t xml:space="preserve">. Расчет размера оплаты производится специалистами отдела </w:t>
      </w:r>
      <w:r w:rsidR="005D46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D466E" w:rsidRPr="005D466E">
        <w:rPr>
          <w:rFonts w:ascii="Times New Roman" w:hAnsi="Times New Roman" w:cs="Times New Roman"/>
          <w:sz w:val="28"/>
          <w:szCs w:val="28"/>
        </w:rPr>
        <w:t xml:space="preserve">по </w:t>
      </w:r>
      <w:r w:rsidR="00AD0B84">
        <w:rPr>
          <w:rFonts w:ascii="Times New Roman" w:hAnsi="Times New Roman" w:cs="Times New Roman"/>
          <w:sz w:val="28"/>
          <w:szCs w:val="28"/>
        </w:rPr>
        <w:t xml:space="preserve">работе с нестационарными торговыми объектами Комитета по </w:t>
      </w:r>
      <w:r w:rsidR="005D466E" w:rsidRPr="005D466E">
        <w:rPr>
          <w:rFonts w:ascii="Times New Roman" w:hAnsi="Times New Roman" w:cs="Times New Roman"/>
          <w:sz w:val="28"/>
          <w:szCs w:val="28"/>
        </w:rPr>
        <w:t xml:space="preserve">размещению некапитальных объектов </w:t>
      </w:r>
      <w:r w:rsidR="00E04E37" w:rsidRPr="005D466E">
        <w:rPr>
          <w:rFonts w:ascii="Times New Roman" w:hAnsi="Times New Roman" w:cs="Times New Roman"/>
          <w:sz w:val="28"/>
          <w:szCs w:val="28"/>
        </w:rPr>
        <w:t>Администрации города Пскова.</w:t>
      </w:r>
    </w:p>
    <w:p w14:paraId="119A7F53" w14:textId="66286EC6" w:rsidR="00E04E37" w:rsidRPr="005D466E" w:rsidRDefault="005D466E" w:rsidP="005D466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46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4EFDE6" w14:textId="076F23B2" w:rsidR="008C2F8C" w:rsidRPr="005D466E" w:rsidRDefault="008C2F8C" w:rsidP="005D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776FD" w14:textId="3825429C" w:rsidR="008C2F8C" w:rsidRPr="00AD0B84" w:rsidRDefault="005D466E" w:rsidP="00E0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Б.А. Елкин</w:t>
      </w:r>
    </w:p>
    <w:sectPr w:rsidR="008C2F8C" w:rsidRPr="00AD0B84" w:rsidSect="00114BFC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46782" w14:textId="77777777" w:rsidR="000709F6" w:rsidRDefault="000709F6" w:rsidP="00263B5E">
      <w:pPr>
        <w:spacing w:after="0" w:line="240" w:lineRule="auto"/>
      </w:pPr>
      <w:r>
        <w:separator/>
      </w:r>
    </w:p>
  </w:endnote>
  <w:endnote w:type="continuationSeparator" w:id="0">
    <w:p w14:paraId="1B981FDD" w14:textId="77777777" w:rsidR="000709F6" w:rsidRDefault="000709F6" w:rsidP="0026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BD40" w14:textId="77777777" w:rsidR="000709F6" w:rsidRDefault="000709F6" w:rsidP="00263B5E">
      <w:pPr>
        <w:spacing w:after="0" w:line="240" w:lineRule="auto"/>
      </w:pPr>
      <w:r>
        <w:separator/>
      </w:r>
    </w:p>
  </w:footnote>
  <w:footnote w:type="continuationSeparator" w:id="0">
    <w:p w14:paraId="344000B1" w14:textId="77777777" w:rsidR="000709F6" w:rsidRDefault="000709F6" w:rsidP="0026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680353"/>
      <w:docPartObj>
        <w:docPartGallery w:val="Page Numbers (Top of Page)"/>
        <w:docPartUnique/>
      </w:docPartObj>
    </w:sdtPr>
    <w:sdtEndPr/>
    <w:sdtContent>
      <w:p w14:paraId="0F48E678" w14:textId="7075DEFC" w:rsidR="00263B5E" w:rsidRDefault="00263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9AAD7" w14:textId="77777777" w:rsidR="00263B5E" w:rsidRDefault="00263B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A54D9"/>
    <w:multiLevelType w:val="hybridMultilevel"/>
    <w:tmpl w:val="3A7649F6"/>
    <w:lvl w:ilvl="0" w:tplc="B100DA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CE"/>
    <w:rsid w:val="000709F6"/>
    <w:rsid w:val="00077134"/>
    <w:rsid w:val="00114BFC"/>
    <w:rsid w:val="00142318"/>
    <w:rsid w:val="001F4FCA"/>
    <w:rsid w:val="00263B5E"/>
    <w:rsid w:val="00332BD3"/>
    <w:rsid w:val="0037109A"/>
    <w:rsid w:val="004C4412"/>
    <w:rsid w:val="005D466E"/>
    <w:rsid w:val="006377C6"/>
    <w:rsid w:val="0066790A"/>
    <w:rsid w:val="007F5E42"/>
    <w:rsid w:val="00806EA5"/>
    <w:rsid w:val="00831F78"/>
    <w:rsid w:val="008C2F8C"/>
    <w:rsid w:val="0099565C"/>
    <w:rsid w:val="00A768A6"/>
    <w:rsid w:val="00AD0B84"/>
    <w:rsid w:val="00B10FE3"/>
    <w:rsid w:val="00B211E8"/>
    <w:rsid w:val="00B21207"/>
    <w:rsid w:val="00BE3478"/>
    <w:rsid w:val="00C4343B"/>
    <w:rsid w:val="00C622CE"/>
    <w:rsid w:val="00CE5E9E"/>
    <w:rsid w:val="00DB514B"/>
    <w:rsid w:val="00E04E37"/>
    <w:rsid w:val="00E7313C"/>
    <w:rsid w:val="00E77C63"/>
    <w:rsid w:val="00E87CFF"/>
    <w:rsid w:val="00F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A065"/>
  <w15:chartTrackingRefBased/>
  <w15:docId w15:val="{596F1E5E-879B-4A12-A7B4-CDE8D85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F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2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F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8C2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04E37"/>
    <w:pPr>
      <w:ind w:left="720"/>
      <w:contextualSpacing/>
    </w:pPr>
  </w:style>
  <w:style w:type="table" w:styleId="a4">
    <w:name w:val="Table Grid"/>
    <w:basedOn w:val="a1"/>
    <w:uiPriority w:val="39"/>
    <w:rsid w:val="00F9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B5E"/>
  </w:style>
  <w:style w:type="paragraph" w:styleId="a7">
    <w:name w:val="footer"/>
    <w:basedOn w:val="a"/>
    <w:link w:val="a8"/>
    <w:uiPriority w:val="99"/>
    <w:unhideWhenUsed/>
    <w:rsid w:val="0026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B5E"/>
  </w:style>
  <w:style w:type="paragraph" w:styleId="a9">
    <w:name w:val="Balloon Text"/>
    <w:basedOn w:val="a"/>
    <w:link w:val="aa"/>
    <w:uiPriority w:val="99"/>
    <w:semiHidden/>
    <w:unhideWhenUsed/>
    <w:rsid w:val="004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Юрченко Елена Георгиевна</cp:lastModifiedBy>
  <cp:revision>18</cp:revision>
  <cp:lastPrinted>2023-12-22T08:13:00Z</cp:lastPrinted>
  <dcterms:created xsi:type="dcterms:W3CDTF">2023-03-13T07:59:00Z</dcterms:created>
  <dcterms:modified xsi:type="dcterms:W3CDTF">2024-04-12T07:46:00Z</dcterms:modified>
</cp:coreProperties>
</file>